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5549" w14:textId="4CE4E15B" w:rsidR="005771E8" w:rsidRPr="00B26213" w:rsidRDefault="00B26213" w:rsidP="000010DB">
      <w:pPr>
        <w:jc w:val="center"/>
        <w:rPr>
          <w:sz w:val="32"/>
          <w:lang w:val="fr-FR"/>
        </w:rPr>
      </w:pPr>
      <w:r w:rsidRPr="00B26213">
        <w:rPr>
          <w:sz w:val="32"/>
          <w:lang w:val="fr-FR"/>
        </w:rPr>
        <w:t>Effi</w:t>
      </w:r>
      <w:r w:rsidR="008C5A46">
        <w:rPr>
          <w:sz w:val="32"/>
          <w:lang w:val="fr-FR"/>
        </w:rPr>
        <w:t>cacité économique et effets dis</w:t>
      </w:r>
      <w:r w:rsidRPr="00B26213">
        <w:rPr>
          <w:sz w:val="32"/>
          <w:lang w:val="fr-FR"/>
        </w:rPr>
        <w:t xml:space="preserve">tributifs de </w:t>
      </w:r>
      <w:r w:rsidR="00316999">
        <w:rPr>
          <w:sz w:val="32"/>
          <w:lang w:val="fr-FR"/>
        </w:rPr>
        <w:t>long-terme des politiques de</w:t>
      </w:r>
      <w:r w:rsidR="008C5A46">
        <w:rPr>
          <w:sz w:val="32"/>
          <w:lang w:val="fr-FR"/>
        </w:rPr>
        <w:t xml:space="preserve"> ré</w:t>
      </w:r>
      <w:r w:rsidRPr="00B26213">
        <w:rPr>
          <w:sz w:val="32"/>
          <w:lang w:val="fr-FR"/>
        </w:rPr>
        <w:t>novation énergétique des logements</w:t>
      </w:r>
    </w:p>
    <w:p w14:paraId="6D6A1A7B" w14:textId="77777777" w:rsidR="000010DB" w:rsidRPr="00B26213" w:rsidRDefault="000010DB" w:rsidP="000010DB">
      <w:pPr>
        <w:jc w:val="center"/>
        <w:rPr>
          <w:lang w:val="fr-FR"/>
        </w:rPr>
      </w:pPr>
    </w:p>
    <w:p w14:paraId="1A86C670" w14:textId="0BF21D9F" w:rsidR="000010DB" w:rsidRPr="00121530" w:rsidRDefault="009C7789" w:rsidP="000010DB">
      <w:pPr>
        <w:jc w:val="center"/>
        <w:rPr>
          <w:lang w:val="fr-FR"/>
        </w:rPr>
      </w:pPr>
      <w:r w:rsidRPr="00121530">
        <w:rPr>
          <w:lang w:val="fr-FR"/>
        </w:rPr>
        <w:t>L</w:t>
      </w:r>
      <w:r w:rsidR="000010DB" w:rsidRPr="00121530">
        <w:rPr>
          <w:lang w:val="fr-FR"/>
        </w:rPr>
        <w:t>ouis-Gaëtan</w:t>
      </w:r>
      <w:r w:rsidRPr="00121530">
        <w:rPr>
          <w:lang w:val="fr-FR"/>
        </w:rPr>
        <w:t xml:space="preserve"> Giraudet</w:t>
      </w:r>
      <w:r w:rsidR="00421796">
        <w:rPr>
          <w:lang w:val="fr-FR"/>
        </w:rPr>
        <w:t>*</w:t>
      </w:r>
      <w:r w:rsidR="000010DB" w:rsidRPr="00121530">
        <w:rPr>
          <w:lang w:val="fr-FR"/>
        </w:rPr>
        <w:t xml:space="preserve"> (Ecole des Ponts ParisTech, CIRED)</w:t>
      </w:r>
    </w:p>
    <w:p w14:paraId="3F7783F0" w14:textId="77777777" w:rsidR="000010DB" w:rsidRPr="00E1704D" w:rsidRDefault="009C7789" w:rsidP="000010DB">
      <w:pPr>
        <w:jc w:val="center"/>
        <w:rPr>
          <w:lang w:val="fr-FR"/>
        </w:rPr>
      </w:pPr>
      <w:r w:rsidRPr="009B7BEA">
        <w:rPr>
          <w:lang w:val="fr-FR"/>
        </w:rPr>
        <w:t>C</w:t>
      </w:r>
      <w:r w:rsidR="000010DB" w:rsidRPr="00E1704D">
        <w:rPr>
          <w:lang w:val="fr-FR"/>
        </w:rPr>
        <w:t>yril Bourgeois (Ecole des Ponts ParisTech, CNRS, CIRED)</w:t>
      </w:r>
    </w:p>
    <w:p w14:paraId="670D7271" w14:textId="77777777" w:rsidR="000010DB" w:rsidRPr="00C35648" w:rsidRDefault="000010DB" w:rsidP="000010DB">
      <w:pPr>
        <w:jc w:val="center"/>
        <w:rPr>
          <w:lang w:val="fr-FR"/>
        </w:rPr>
      </w:pPr>
      <w:r w:rsidRPr="00C35648">
        <w:rPr>
          <w:lang w:val="fr-FR"/>
        </w:rPr>
        <w:t xml:space="preserve">Philippe </w:t>
      </w:r>
      <w:r w:rsidR="009C7789" w:rsidRPr="00C35648">
        <w:rPr>
          <w:lang w:val="fr-FR"/>
        </w:rPr>
        <w:t>Quirion</w:t>
      </w:r>
      <w:r w:rsidRPr="00C35648">
        <w:rPr>
          <w:lang w:val="fr-FR"/>
        </w:rPr>
        <w:t xml:space="preserve"> (CNRS, CIRED)</w:t>
      </w:r>
    </w:p>
    <w:p w14:paraId="09EC343E" w14:textId="77777777" w:rsidR="000010DB" w:rsidRPr="00C35648" w:rsidRDefault="000010DB" w:rsidP="000010DB">
      <w:pPr>
        <w:jc w:val="center"/>
        <w:rPr>
          <w:lang w:val="fr-FR"/>
        </w:rPr>
      </w:pPr>
    </w:p>
    <w:p w14:paraId="66E76877" w14:textId="77777777" w:rsidR="00651FA3" w:rsidRPr="00C35648" w:rsidRDefault="00651FA3" w:rsidP="000010DB">
      <w:pPr>
        <w:jc w:val="center"/>
        <w:rPr>
          <w:lang w:val="fr-FR"/>
        </w:rPr>
      </w:pPr>
    </w:p>
    <w:p w14:paraId="71B3EA53" w14:textId="29C65B1B" w:rsidR="00C7759F" w:rsidRPr="002413D3" w:rsidRDefault="00C35648" w:rsidP="000010DB">
      <w:pPr>
        <w:jc w:val="center"/>
        <w:rPr>
          <w:lang w:val="fr-FR"/>
        </w:rPr>
      </w:pPr>
      <w:r>
        <w:rPr>
          <w:lang w:val="fr-FR"/>
        </w:rPr>
        <w:t>2</w:t>
      </w:r>
      <w:r w:rsidRPr="005E0E66">
        <w:rPr>
          <w:vertAlign w:val="superscript"/>
          <w:lang w:val="fr-FR"/>
        </w:rPr>
        <w:t>ème</w:t>
      </w:r>
      <w:r w:rsidRPr="002413D3">
        <w:rPr>
          <w:lang w:val="fr-FR"/>
        </w:rPr>
        <w:t xml:space="preserve"> </w:t>
      </w:r>
      <w:r w:rsidR="00C7759F" w:rsidRPr="002413D3">
        <w:rPr>
          <w:lang w:val="fr-FR"/>
        </w:rPr>
        <w:t xml:space="preserve">version, </w:t>
      </w:r>
      <w:r w:rsidR="000D6E9F">
        <w:rPr>
          <w:lang w:val="fr-FR"/>
        </w:rPr>
        <w:t>17</w:t>
      </w:r>
      <w:r w:rsidR="00AF61EB">
        <w:rPr>
          <w:lang w:val="fr-FR"/>
        </w:rPr>
        <w:t xml:space="preserve"> décembre</w:t>
      </w:r>
      <w:r w:rsidR="00C7759F" w:rsidRPr="002413D3">
        <w:rPr>
          <w:lang w:val="fr-FR"/>
        </w:rPr>
        <w:t xml:space="preserve"> 2019</w:t>
      </w:r>
    </w:p>
    <w:p w14:paraId="5529A329" w14:textId="77777777" w:rsidR="001C4F01" w:rsidRDefault="001C4F01">
      <w:pPr>
        <w:rPr>
          <w:lang w:val="fr-FR"/>
        </w:rPr>
      </w:pPr>
    </w:p>
    <w:p w14:paraId="333A9794" w14:textId="0398D7C5" w:rsidR="006E5727" w:rsidRDefault="00137731">
      <w:pPr>
        <w:rPr>
          <w:lang w:val="fr-FR"/>
        </w:rPr>
      </w:pPr>
      <w:r>
        <w:rPr>
          <w:lang w:val="fr-FR"/>
        </w:rPr>
        <w:t>Nous évaluons</w:t>
      </w:r>
      <w:r w:rsidR="009C2653">
        <w:rPr>
          <w:lang w:val="fr-FR"/>
        </w:rPr>
        <w:t>, à l’aide</w:t>
      </w:r>
      <w:r w:rsidR="009C2653" w:rsidRPr="001C1576">
        <w:rPr>
          <w:lang w:val="fr-FR"/>
        </w:rPr>
        <w:t xml:space="preserve"> du modèle technico-économique Res-IRF</w:t>
      </w:r>
      <w:r w:rsidR="009C2653">
        <w:rPr>
          <w:lang w:val="fr-FR"/>
        </w:rPr>
        <w:t xml:space="preserve">, l’effet </w:t>
      </w:r>
      <w:r w:rsidR="009C2653" w:rsidRPr="000A1DB5">
        <w:rPr>
          <w:lang w:val="fr-FR"/>
        </w:rPr>
        <w:t xml:space="preserve">des </w:t>
      </w:r>
      <w:r w:rsidR="009C2653">
        <w:rPr>
          <w:lang w:val="fr-FR"/>
        </w:rPr>
        <w:t>quatre principaux dispositifs de subvention</w:t>
      </w:r>
      <w:r w:rsidR="009C2653" w:rsidRPr="001413C1">
        <w:rPr>
          <w:lang w:val="fr-FR"/>
        </w:rPr>
        <w:t xml:space="preserve"> à l’efficacité énergétique</w:t>
      </w:r>
      <w:r w:rsidR="009C2653">
        <w:rPr>
          <w:lang w:val="fr-FR"/>
        </w:rPr>
        <w:t xml:space="preserve"> et de la taxe carbone sur la demande d’énergie pour le chauffage des logements en France. </w:t>
      </w:r>
      <w:r w:rsidR="009C2653" w:rsidRPr="00843397">
        <w:rPr>
          <w:lang w:val="fr-FR"/>
        </w:rPr>
        <w:t xml:space="preserve">La taxe carbone </w:t>
      </w:r>
      <w:r w:rsidR="00A91380">
        <w:rPr>
          <w:lang w:val="fr-FR"/>
        </w:rPr>
        <w:t xml:space="preserve">s’avère être </w:t>
      </w:r>
      <w:r w:rsidR="009C2653" w:rsidRPr="000A1DB5">
        <w:rPr>
          <w:lang w:val="fr-FR"/>
        </w:rPr>
        <w:t xml:space="preserve">l’instrument </w:t>
      </w:r>
      <w:r w:rsidR="00A91380">
        <w:rPr>
          <w:lang w:val="fr-FR"/>
        </w:rPr>
        <w:t>le plus efficace, mais également le plus régressif</w:t>
      </w:r>
      <w:r w:rsidR="009C2653">
        <w:rPr>
          <w:lang w:val="fr-FR"/>
        </w:rPr>
        <w:t>.</w:t>
      </w:r>
      <w:r w:rsidR="009C2653" w:rsidRPr="000A1DB5">
        <w:rPr>
          <w:lang w:val="fr-FR"/>
        </w:rPr>
        <w:t xml:space="preserve"> </w:t>
      </w:r>
      <w:r w:rsidR="009C2653" w:rsidRPr="00843397">
        <w:rPr>
          <w:lang w:val="fr-FR"/>
        </w:rPr>
        <w:t xml:space="preserve">Les subventions </w:t>
      </w:r>
      <w:r w:rsidR="009C2653">
        <w:rPr>
          <w:lang w:val="fr-FR"/>
        </w:rPr>
        <w:t xml:space="preserve">induisent </w:t>
      </w:r>
      <w:r w:rsidR="009C2653" w:rsidRPr="000A1DB5">
        <w:rPr>
          <w:lang w:val="fr-FR"/>
        </w:rPr>
        <w:t xml:space="preserve">un effet levier </w:t>
      </w:r>
      <w:r w:rsidR="00A91380">
        <w:rPr>
          <w:lang w:val="fr-FR"/>
        </w:rPr>
        <w:t xml:space="preserve">sur l’investissement </w:t>
      </w:r>
      <w:r w:rsidR="009C2653" w:rsidRPr="000A1DB5">
        <w:rPr>
          <w:lang w:val="fr-FR"/>
        </w:rPr>
        <w:t xml:space="preserve">de </w:t>
      </w:r>
      <w:r w:rsidR="009C2653">
        <w:rPr>
          <w:lang w:val="fr-FR"/>
        </w:rPr>
        <w:t>1</w:t>
      </w:r>
      <w:r w:rsidR="009C2653" w:rsidRPr="000A1DB5">
        <w:rPr>
          <w:lang w:val="fr-FR"/>
        </w:rPr>
        <w:t xml:space="preserve"> à 1,4 en 2015</w:t>
      </w:r>
      <w:r w:rsidR="00A91380">
        <w:rPr>
          <w:lang w:val="fr-FR"/>
        </w:rPr>
        <w:t xml:space="preserve">. </w:t>
      </w:r>
      <w:r w:rsidR="009C2653" w:rsidRPr="005416B7">
        <w:rPr>
          <w:lang w:val="fr-FR"/>
        </w:rPr>
        <w:t xml:space="preserve">Le ciblage des subventions sur les ménages à bas revenus, qui </w:t>
      </w:r>
      <w:r w:rsidR="009C2653">
        <w:rPr>
          <w:lang w:val="fr-FR"/>
        </w:rPr>
        <w:t xml:space="preserve">sont sur-représentés dans les logements les moins performants, accroît l’effet levier, permettant ainsi de concilier efficacité économique et équité sociale. </w:t>
      </w:r>
      <w:r w:rsidR="009C2653" w:rsidRPr="005416B7">
        <w:rPr>
          <w:lang w:val="fr-FR"/>
        </w:rPr>
        <w:t xml:space="preserve">L’atteinte des objectifs </w:t>
      </w:r>
      <w:r w:rsidR="00B41A9E">
        <w:rPr>
          <w:lang w:val="fr-FR"/>
        </w:rPr>
        <w:t xml:space="preserve">nationaux </w:t>
      </w:r>
      <w:r w:rsidR="009C2653" w:rsidRPr="005416B7">
        <w:rPr>
          <w:lang w:val="fr-FR"/>
        </w:rPr>
        <w:t xml:space="preserve">d’économie d’énergie </w:t>
      </w:r>
      <w:r w:rsidR="009C2653" w:rsidRPr="000A1DB5">
        <w:rPr>
          <w:lang w:val="fr-FR"/>
        </w:rPr>
        <w:t xml:space="preserve">nécessite </w:t>
      </w:r>
      <w:r w:rsidR="009C2653">
        <w:rPr>
          <w:lang w:val="fr-FR"/>
        </w:rPr>
        <w:t xml:space="preserve">de </w:t>
      </w:r>
      <w:r w:rsidR="009C2653" w:rsidRPr="00DD0E7D">
        <w:rPr>
          <w:lang w:val="fr-FR"/>
        </w:rPr>
        <w:t xml:space="preserve">maintenir </w:t>
      </w:r>
      <w:r w:rsidR="009C2653">
        <w:rPr>
          <w:lang w:val="fr-FR"/>
        </w:rPr>
        <w:t>les subventions</w:t>
      </w:r>
      <w:r w:rsidR="009C2653" w:rsidRPr="00DD0E7D">
        <w:rPr>
          <w:lang w:val="fr-FR"/>
        </w:rPr>
        <w:t xml:space="preserve"> jusqu’en 2050</w:t>
      </w:r>
      <w:r w:rsidR="009C2653">
        <w:rPr>
          <w:lang w:val="fr-FR"/>
        </w:rPr>
        <w:t xml:space="preserve"> et de les étendre au parc locatif privé</w:t>
      </w:r>
      <w:r w:rsidR="00A91380">
        <w:rPr>
          <w:lang w:val="fr-FR"/>
        </w:rPr>
        <w:t>.</w:t>
      </w:r>
    </w:p>
    <w:p w14:paraId="69D5D065" w14:textId="77777777" w:rsidR="006E5727" w:rsidRDefault="006E5727">
      <w:pPr>
        <w:rPr>
          <w:lang w:val="fr-FR"/>
        </w:rPr>
      </w:pPr>
    </w:p>
    <w:p w14:paraId="4AA8A568" w14:textId="77777777" w:rsidR="006E5727" w:rsidRPr="002413D3" w:rsidRDefault="006E5727">
      <w:pPr>
        <w:rPr>
          <w:lang w:val="fr-FR"/>
        </w:rPr>
      </w:pPr>
    </w:p>
    <w:p w14:paraId="3965489E" w14:textId="76EF2703" w:rsidR="001C4F01" w:rsidRDefault="00BE03A9">
      <w:pPr>
        <w:rPr>
          <w:lang w:val="fr-FR"/>
        </w:rPr>
      </w:pPr>
      <w:r w:rsidRPr="00084A23">
        <w:rPr>
          <w:u w:val="single"/>
          <w:lang w:val="fr-FR"/>
        </w:rPr>
        <w:t>Mots clés</w:t>
      </w:r>
      <w:r w:rsidR="001C4F01" w:rsidRPr="002413D3">
        <w:rPr>
          <w:lang w:val="fr-FR"/>
        </w:rPr>
        <w:t xml:space="preserve">: </w:t>
      </w:r>
      <w:r w:rsidR="002413D3" w:rsidRPr="002413D3">
        <w:rPr>
          <w:lang w:val="fr-FR"/>
        </w:rPr>
        <w:t xml:space="preserve">rénovation énergétique, </w:t>
      </w:r>
      <w:r w:rsidR="002413D3">
        <w:rPr>
          <w:lang w:val="fr-FR"/>
        </w:rPr>
        <w:t>taxe carbone, subventions à l’efficacité énergétique, précarité énergétique, évaluation intégrée</w:t>
      </w:r>
      <w:r w:rsidR="00084A23">
        <w:rPr>
          <w:lang w:val="fr-FR"/>
        </w:rPr>
        <w:t>, chauffage</w:t>
      </w:r>
    </w:p>
    <w:p w14:paraId="7BF39FBF" w14:textId="42BBA1CA" w:rsidR="00724C6F" w:rsidRPr="002413D3" w:rsidRDefault="00724C6F">
      <w:pPr>
        <w:rPr>
          <w:lang w:val="fr-FR"/>
        </w:rPr>
      </w:pPr>
      <w:r w:rsidRPr="006E5727">
        <w:rPr>
          <w:u w:val="single"/>
          <w:lang w:val="fr-FR"/>
        </w:rPr>
        <w:t>JEL codes</w:t>
      </w:r>
      <w:r>
        <w:rPr>
          <w:lang w:val="fr-FR"/>
        </w:rPr>
        <w:t> :</w:t>
      </w:r>
      <w:r w:rsidR="008E7A62">
        <w:rPr>
          <w:lang w:val="fr-FR"/>
        </w:rPr>
        <w:t xml:space="preserve"> </w:t>
      </w:r>
      <w:r w:rsidR="006E5727">
        <w:rPr>
          <w:lang w:val="fr-FR"/>
        </w:rPr>
        <w:t xml:space="preserve">D63, H23, </w:t>
      </w:r>
      <w:r w:rsidR="008E7A62">
        <w:rPr>
          <w:lang w:val="fr-FR"/>
        </w:rPr>
        <w:t>Q47</w:t>
      </w:r>
    </w:p>
    <w:p w14:paraId="243E81CC" w14:textId="77777777" w:rsidR="00AB6EB7" w:rsidRPr="002413D3" w:rsidRDefault="00AB6EB7" w:rsidP="00421796">
      <w:pPr>
        <w:rPr>
          <w:highlight w:val="yellow"/>
          <w:lang w:val="fr-FR"/>
        </w:rPr>
      </w:pPr>
    </w:p>
    <w:p w14:paraId="3B1FD85E" w14:textId="77777777" w:rsidR="0016676E" w:rsidRDefault="0016676E" w:rsidP="00421796">
      <w:pPr>
        <w:rPr>
          <w:sz w:val="20"/>
          <w:lang w:val="fr-FR"/>
        </w:rPr>
      </w:pPr>
    </w:p>
    <w:p w14:paraId="4FBC5A46" w14:textId="77777777" w:rsidR="0016676E" w:rsidRDefault="0016676E" w:rsidP="00421796">
      <w:pPr>
        <w:rPr>
          <w:sz w:val="20"/>
          <w:lang w:val="fr-FR"/>
        </w:rPr>
      </w:pPr>
    </w:p>
    <w:p w14:paraId="7D9F9E60" w14:textId="4C12966F" w:rsidR="009241BE" w:rsidRDefault="00421796" w:rsidP="00421796">
      <w:pPr>
        <w:rPr>
          <w:sz w:val="20"/>
          <w:lang w:val="fr-FR"/>
        </w:rPr>
      </w:pPr>
      <w:r w:rsidRPr="00C7759F">
        <w:rPr>
          <w:sz w:val="20"/>
          <w:lang w:val="fr-FR"/>
        </w:rPr>
        <w:t xml:space="preserve">* </w:t>
      </w:r>
      <w:r w:rsidR="0016676E">
        <w:rPr>
          <w:sz w:val="20"/>
          <w:lang w:val="fr-FR"/>
        </w:rPr>
        <w:t>Contact</w:t>
      </w:r>
      <w:r w:rsidR="00BE03A9" w:rsidRPr="00C7759F">
        <w:rPr>
          <w:sz w:val="20"/>
          <w:lang w:val="fr-FR"/>
        </w:rPr>
        <w:t xml:space="preserve"> pour </w:t>
      </w:r>
      <w:r w:rsidR="00C7759F" w:rsidRPr="00C7759F">
        <w:rPr>
          <w:sz w:val="20"/>
          <w:lang w:val="fr-FR"/>
        </w:rPr>
        <w:t>correspondance</w:t>
      </w:r>
      <w:r w:rsidRPr="00C7759F">
        <w:rPr>
          <w:sz w:val="20"/>
          <w:lang w:val="fr-FR"/>
        </w:rPr>
        <w:t xml:space="preserve">: </w:t>
      </w:r>
      <w:hyperlink r:id="rId9" w:history="1">
        <w:r w:rsidR="000626E3" w:rsidRPr="00C7759F">
          <w:rPr>
            <w:rStyle w:val="Lienhypertexte"/>
            <w:sz w:val="20"/>
            <w:lang w:val="fr-FR"/>
          </w:rPr>
          <w:t>giraudet@centre-cired.fr</w:t>
        </w:r>
      </w:hyperlink>
      <w:r w:rsidR="000626E3" w:rsidRPr="00C7759F">
        <w:rPr>
          <w:sz w:val="20"/>
          <w:lang w:val="fr-FR"/>
        </w:rPr>
        <w:t xml:space="preserve">. </w:t>
      </w:r>
      <w:r w:rsidR="00BE03A9" w:rsidRPr="00C7759F">
        <w:rPr>
          <w:sz w:val="20"/>
          <w:lang w:val="fr-FR"/>
        </w:rPr>
        <w:t xml:space="preserve">Ces travaux ont bénéficié du soutien financier de </w:t>
      </w:r>
      <w:proofErr w:type="gramStart"/>
      <w:r w:rsidR="00BE03A9" w:rsidRPr="00C7759F">
        <w:rPr>
          <w:sz w:val="20"/>
          <w:lang w:val="fr-FR"/>
        </w:rPr>
        <w:t>l’</w:t>
      </w:r>
      <w:r w:rsidR="00B01E09" w:rsidRPr="00C7759F">
        <w:rPr>
          <w:sz w:val="20"/>
          <w:lang w:val="fr-FR"/>
        </w:rPr>
        <w:t xml:space="preserve"> </w:t>
      </w:r>
      <w:r w:rsidR="007A4749" w:rsidRPr="00C7759F">
        <w:rPr>
          <w:sz w:val="20"/>
          <w:lang w:val="fr-FR"/>
        </w:rPr>
        <w:t>Agence</w:t>
      </w:r>
      <w:proofErr w:type="gramEnd"/>
      <w:r w:rsidR="007A4749" w:rsidRPr="00C7759F">
        <w:rPr>
          <w:sz w:val="20"/>
          <w:lang w:val="fr-FR"/>
        </w:rPr>
        <w:t xml:space="preserve"> de l’environnement et de la maîtrise de l’énergie</w:t>
      </w:r>
      <w:r w:rsidR="00B01E09" w:rsidRPr="00C7759F">
        <w:rPr>
          <w:sz w:val="20"/>
          <w:lang w:val="fr-FR"/>
        </w:rPr>
        <w:t xml:space="preserve"> (Convention 14 10 C 0001), </w:t>
      </w:r>
      <w:r w:rsidR="00BE03A9" w:rsidRPr="00C7759F">
        <w:rPr>
          <w:sz w:val="20"/>
          <w:lang w:val="fr-FR"/>
        </w:rPr>
        <w:t xml:space="preserve">du </w:t>
      </w:r>
      <w:r w:rsidR="007A4749" w:rsidRPr="00C7759F">
        <w:rPr>
          <w:sz w:val="20"/>
          <w:lang w:val="fr-FR"/>
        </w:rPr>
        <w:t xml:space="preserve">Commissariat général au développement durable (Convention 2101763372), </w:t>
      </w:r>
      <w:r w:rsidR="00BE03A9" w:rsidRPr="00C7759F">
        <w:rPr>
          <w:sz w:val="20"/>
          <w:lang w:val="fr-FR"/>
        </w:rPr>
        <w:t xml:space="preserve">de </w:t>
      </w:r>
      <w:r w:rsidR="00B01E09" w:rsidRPr="00C7759F">
        <w:rPr>
          <w:sz w:val="20"/>
          <w:lang w:val="fr-FR"/>
        </w:rPr>
        <w:t xml:space="preserve">TOTAL S.A. </w:t>
      </w:r>
      <w:r w:rsidR="00BE03A9" w:rsidRPr="00C7759F">
        <w:rPr>
          <w:sz w:val="20"/>
          <w:lang w:val="fr-FR"/>
        </w:rPr>
        <w:t>et de l’</w:t>
      </w:r>
      <w:r w:rsidR="007A4749" w:rsidRPr="00C7759F">
        <w:rPr>
          <w:sz w:val="20"/>
          <w:lang w:val="fr-FR"/>
        </w:rPr>
        <w:t>Association Technique Energie Environnement</w:t>
      </w:r>
      <w:r w:rsidR="00B01E09" w:rsidRPr="00C7759F">
        <w:rPr>
          <w:sz w:val="20"/>
          <w:lang w:val="fr-FR"/>
        </w:rPr>
        <w:t xml:space="preserve"> (Convention DS N°3136).</w:t>
      </w:r>
    </w:p>
    <w:p w14:paraId="4513C90B" w14:textId="569F9DE2" w:rsidR="009241BE" w:rsidRPr="00651FA3" w:rsidRDefault="009241BE" w:rsidP="00651FA3">
      <w:pPr>
        <w:rPr>
          <w:sz w:val="32"/>
        </w:rPr>
      </w:pPr>
      <w:r w:rsidRPr="00122C26">
        <w:rPr>
          <w:sz w:val="20"/>
        </w:rPr>
        <w:br w:type="page"/>
      </w:r>
      <w:r w:rsidRPr="00651FA3">
        <w:rPr>
          <w:sz w:val="32"/>
        </w:rPr>
        <w:lastRenderedPageBreak/>
        <w:t>Long-term efficiency and distributional impacts of energy saving policies in the French residential sector</w:t>
      </w:r>
    </w:p>
    <w:p w14:paraId="1432278E" w14:textId="77777777" w:rsidR="003A3FA8" w:rsidRDefault="003A3FA8"/>
    <w:p w14:paraId="63241BDF" w14:textId="77777777" w:rsidR="003A3FA8" w:rsidRDefault="003A3FA8"/>
    <w:p w14:paraId="4F6BFF8E" w14:textId="6443272D" w:rsidR="009241BE" w:rsidRDefault="009241BE">
      <w:r w:rsidRPr="009241BE">
        <w:t xml:space="preserve">Using the Res-IRF </w:t>
      </w:r>
      <w:r w:rsidR="003A3FA8">
        <w:t xml:space="preserve">energy-economy </w:t>
      </w:r>
      <w:r w:rsidRPr="009241BE">
        <w:t xml:space="preserve">model, we evaluate the </w:t>
      </w:r>
      <w:r w:rsidR="003A3FA8">
        <w:t xml:space="preserve">impact of four key </w:t>
      </w:r>
      <w:r w:rsidRPr="009241BE">
        <w:t xml:space="preserve">energy efficiency subsidy </w:t>
      </w:r>
      <w:r w:rsidR="003A3FA8">
        <w:t xml:space="preserve">programmes </w:t>
      </w:r>
      <w:r w:rsidRPr="009241BE">
        <w:t xml:space="preserve">and the carbon tax on energy demand for residential heating in France. The carbon tax </w:t>
      </w:r>
      <w:r w:rsidR="003A3FA8">
        <w:t xml:space="preserve">proves to be the most </w:t>
      </w:r>
      <w:r w:rsidRPr="009241BE">
        <w:t xml:space="preserve">effective, </w:t>
      </w:r>
      <w:r w:rsidR="003A3FA8">
        <w:t xml:space="preserve">yet </w:t>
      </w:r>
      <w:r w:rsidRPr="009241BE">
        <w:t>also most regressive</w:t>
      </w:r>
      <w:r w:rsidR="003A3FA8">
        <w:t>,</w:t>
      </w:r>
      <w:r w:rsidRPr="009241BE">
        <w:t xml:space="preserve"> instrument. Subsidies have a leverage effect of 1 to 1.4 in 2015. </w:t>
      </w:r>
      <w:r w:rsidR="00662D7E">
        <w:t>T</w:t>
      </w:r>
      <w:r w:rsidRPr="009241BE">
        <w:t xml:space="preserve">argeting subsidies </w:t>
      </w:r>
      <w:r w:rsidR="00662D7E">
        <w:t xml:space="preserve">towards </w:t>
      </w:r>
      <w:r w:rsidRPr="009241BE">
        <w:t xml:space="preserve">low-income households, </w:t>
      </w:r>
      <w:r w:rsidR="00662D7E">
        <w:t>who tend to live in energy inefficient dwellings</w:t>
      </w:r>
      <w:r w:rsidRPr="009241BE">
        <w:t xml:space="preserve">, increases leverage, thus reconciling economic efficiency and social equity. </w:t>
      </w:r>
      <w:r w:rsidR="00662D7E">
        <w:t xml:space="preserve">Meeting the long-term energy saving targets set by the French government requires maintaining subsidy programmes </w:t>
      </w:r>
      <w:r w:rsidRPr="009241BE">
        <w:t>until 2050 and exte</w:t>
      </w:r>
      <w:r>
        <w:t xml:space="preserve">nded </w:t>
      </w:r>
      <w:r w:rsidR="00662D7E">
        <w:t xml:space="preserve">them </w:t>
      </w:r>
      <w:r>
        <w:t xml:space="preserve">to </w:t>
      </w:r>
      <w:r w:rsidR="00662D7E">
        <w:t>rented dwellings</w:t>
      </w:r>
      <w:r>
        <w:t>.</w:t>
      </w:r>
    </w:p>
    <w:p w14:paraId="7B4E1712" w14:textId="77777777" w:rsidR="003A3FA8" w:rsidRDefault="003A3FA8">
      <w:pPr>
        <w:rPr>
          <w:u w:val="single"/>
        </w:rPr>
      </w:pPr>
    </w:p>
    <w:p w14:paraId="3C030427" w14:textId="228B47F1" w:rsidR="00BE03A9" w:rsidRPr="009241BE" w:rsidRDefault="009241BE">
      <w:proofErr w:type="gramStart"/>
      <w:r w:rsidRPr="003A3FA8">
        <w:rPr>
          <w:u w:val="single"/>
        </w:rPr>
        <w:t>keywords</w:t>
      </w:r>
      <w:proofErr w:type="gramEnd"/>
      <w:r>
        <w:t>: home energy retrofits, carbon tax, energy efficiency subsidies, fuel poverty, energy-economy modelling, space heating</w:t>
      </w:r>
      <w:r w:rsidR="00BE03A9" w:rsidRPr="009241BE">
        <w:br w:type="page"/>
      </w:r>
    </w:p>
    <w:p w14:paraId="6F8BC5EE" w14:textId="77777777" w:rsidR="00A34735" w:rsidRPr="00C912D0" w:rsidRDefault="00A34735" w:rsidP="004751A5">
      <w:pPr>
        <w:pStyle w:val="Titre1"/>
        <w:rPr>
          <w:lang w:val="en-GB"/>
        </w:rPr>
      </w:pPr>
      <w:r w:rsidRPr="00C912D0">
        <w:rPr>
          <w:lang w:val="en-GB"/>
        </w:rPr>
        <w:lastRenderedPageBreak/>
        <w:t>Introduction</w:t>
      </w:r>
    </w:p>
    <w:p w14:paraId="48B90705" w14:textId="32F9526D" w:rsidR="00C01CE3" w:rsidRDefault="00275D4A" w:rsidP="001D0A76">
      <w:pPr>
        <w:rPr>
          <w:lang w:val="fr-FR"/>
        </w:rPr>
      </w:pPr>
      <w:r>
        <w:rPr>
          <w:lang w:val="fr-FR"/>
        </w:rPr>
        <w:t>Il est généralement admis que l</w:t>
      </w:r>
      <w:r w:rsidR="00FE76BA">
        <w:rPr>
          <w:lang w:val="fr-FR"/>
        </w:rPr>
        <w:t xml:space="preserve">e secteur du bâtiment </w:t>
      </w:r>
      <w:r>
        <w:rPr>
          <w:lang w:val="fr-FR"/>
        </w:rPr>
        <w:t>recèle un gisement d’économies</w:t>
      </w:r>
      <w:r w:rsidR="004B0501">
        <w:rPr>
          <w:lang w:val="fr-FR"/>
        </w:rPr>
        <w:t xml:space="preserve"> d’énergie </w:t>
      </w:r>
      <w:r w:rsidR="00DF4248">
        <w:rPr>
          <w:lang w:val="fr-FR"/>
        </w:rPr>
        <w:t xml:space="preserve">considérable et </w:t>
      </w:r>
      <w:r w:rsidR="00615CD6">
        <w:rPr>
          <w:lang w:val="fr-FR"/>
        </w:rPr>
        <w:t>peu</w:t>
      </w:r>
      <w:r w:rsidR="004B0501">
        <w:rPr>
          <w:lang w:val="fr-FR"/>
        </w:rPr>
        <w:t xml:space="preserve"> coût</w:t>
      </w:r>
      <w:r w:rsidR="00615CD6">
        <w:rPr>
          <w:lang w:val="fr-FR"/>
        </w:rPr>
        <w:t>eux</w:t>
      </w:r>
      <w:r w:rsidR="00BD1CF4">
        <w:rPr>
          <w:lang w:val="fr-FR"/>
        </w:rPr>
        <w:t>.</w:t>
      </w:r>
      <w:r w:rsidR="004B0501">
        <w:rPr>
          <w:lang w:val="fr-FR"/>
        </w:rPr>
        <w:t xml:space="preserve"> </w:t>
      </w:r>
      <w:r w:rsidR="00BD1CF4">
        <w:rPr>
          <w:lang w:val="fr-FR"/>
        </w:rPr>
        <w:t xml:space="preserve">Etayé par des études d’ingénieur – dont celle de McKinsey &amp; Co. (2009) est la plus emblématique –, cet argument a </w:t>
      </w:r>
      <w:r w:rsidR="00E90DED">
        <w:rPr>
          <w:lang w:val="fr-FR"/>
        </w:rPr>
        <w:t xml:space="preserve">exercé une influence importante sur </w:t>
      </w:r>
      <w:r w:rsidR="00963240">
        <w:rPr>
          <w:lang w:val="fr-FR"/>
        </w:rPr>
        <w:t>l</w:t>
      </w:r>
      <w:r w:rsidR="003C0637">
        <w:rPr>
          <w:lang w:val="fr-FR"/>
        </w:rPr>
        <w:t>’action publique</w:t>
      </w:r>
      <w:r w:rsidR="00706DFD">
        <w:rPr>
          <w:lang w:val="fr-FR"/>
        </w:rPr>
        <w:t xml:space="preserve">, </w:t>
      </w:r>
      <w:r w:rsidR="002B2E87">
        <w:rPr>
          <w:lang w:val="fr-FR"/>
        </w:rPr>
        <w:t>c</w:t>
      </w:r>
      <w:r w:rsidR="003F7274">
        <w:rPr>
          <w:lang w:val="fr-FR"/>
        </w:rPr>
        <w:t xml:space="preserve">omme en témoigne le nombre et la diversité </w:t>
      </w:r>
      <w:r w:rsidR="002B2E87">
        <w:rPr>
          <w:lang w:val="fr-FR"/>
        </w:rPr>
        <w:t>d</w:t>
      </w:r>
      <w:r w:rsidR="00963240">
        <w:rPr>
          <w:lang w:val="fr-FR"/>
        </w:rPr>
        <w:t>es</w:t>
      </w:r>
      <w:r w:rsidR="00BD1CF4">
        <w:rPr>
          <w:lang w:val="fr-FR"/>
        </w:rPr>
        <w:t xml:space="preserve"> politiques d’efficacité énergétique </w:t>
      </w:r>
      <w:r w:rsidR="003F7274">
        <w:rPr>
          <w:lang w:val="fr-FR"/>
        </w:rPr>
        <w:t xml:space="preserve">mises en place </w:t>
      </w:r>
      <w:r w:rsidR="00963240">
        <w:rPr>
          <w:lang w:val="fr-FR"/>
        </w:rPr>
        <w:t xml:space="preserve">dans le secteur </w:t>
      </w:r>
      <w:r w:rsidR="00626683">
        <w:rPr>
          <w:lang w:val="fr-FR"/>
        </w:rPr>
        <w:t>du logement</w:t>
      </w:r>
      <w:r w:rsidR="00963240">
        <w:rPr>
          <w:lang w:val="fr-FR"/>
        </w:rPr>
        <w:t xml:space="preserve"> au cours des dernières </w:t>
      </w:r>
      <w:r w:rsidR="004A779D">
        <w:rPr>
          <w:lang w:val="fr-FR"/>
        </w:rPr>
        <w:t>décennies</w:t>
      </w:r>
      <w:r w:rsidR="001B314B">
        <w:rPr>
          <w:lang w:val="fr-FR"/>
        </w:rPr>
        <w:t xml:space="preserve">. Initiée dans les années 1970 en réponse au premier choc pétrolier, la </w:t>
      </w:r>
      <w:r w:rsidR="00F2177B">
        <w:rPr>
          <w:lang w:val="fr-FR"/>
        </w:rPr>
        <w:t>« chasse au gaspi</w:t>
      </w:r>
      <w:r w:rsidR="00A44FD8">
        <w:rPr>
          <w:lang w:val="fr-FR"/>
        </w:rPr>
        <w:t xml:space="preserve"> » </w:t>
      </w:r>
      <w:r w:rsidR="001B314B">
        <w:rPr>
          <w:lang w:val="fr-FR"/>
        </w:rPr>
        <w:t xml:space="preserve">a d’abord fait la part belle aux </w:t>
      </w:r>
      <w:r w:rsidR="00963240">
        <w:rPr>
          <w:lang w:val="fr-FR"/>
        </w:rPr>
        <w:t xml:space="preserve">mesures </w:t>
      </w:r>
      <w:r w:rsidR="005B2ADF">
        <w:rPr>
          <w:lang w:val="fr-FR"/>
        </w:rPr>
        <w:t>réglementaire</w:t>
      </w:r>
      <w:r w:rsidR="00963240">
        <w:rPr>
          <w:lang w:val="fr-FR"/>
        </w:rPr>
        <w:t>s</w:t>
      </w:r>
      <w:r w:rsidR="003C0637">
        <w:rPr>
          <w:lang w:val="fr-FR"/>
        </w:rPr>
        <w:t xml:space="preserve">, </w:t>
      </w:r>
      <w:r w:rsidR="00963240">
        <w:rPr>
          <w:lang w:val="fr-FR"/>
        </w:rPr>
        <w:t xml:space="preserve">comme </w:t>
      </w:r>
      <w:r w:rsidR="003C0637">
        <w:rPr>
          <w:lang w:val="fr-FR"/>
        </w:rPr>
        <w:t xml:space="preserve">le passage à l’heure d’été </w:t>
      </w:r>
      <w:r w:rsidR="00CD72E3">
        <w:rPr>
          <w:lang w:val="fr-FR"/>
        </w:rPr>
        <w:t xml:space="preserve">en 1976 </w:t>
      </w:r>
      <w:r w:rsidR="003C0637">
        <w:rPr>
          <w:lang w:val="fr-FR"/>
        </w:rPr>
        <w:t xml:space="preserve">et </w:t>
      </w:r>
      <w:r w:rsidR="00963240">
        <w:rPr>
          <w:lang w:val="fr-FR"/>
        </w:rPr>
        <w:t>les réglementations thermiques qui se</w:t>
      </w:r>
      <w:r w:rsidR="00CD72E3">
        <w:rPr>
          <w:lang w:val="fr-FR"/>
        </w:rPr>
        <w:t xml:space="preserve"> sont succédées à partir de 1974</w:t>
      </w:r>
      <w:r w:rsidR="00626683">
        <w:rPr>
          <w:lang w:val="fr-FR"/>
        </w:rPr>
        <w:t xml:space="preserve"> (Martin et </w:t>
      </w:r>
      <w:proofErr w:type="gramStart"/>
      <w:r w:rsidR="00626683">
        <w:rPr>
          <w:lang w:val="fr-FR"/>
        </w:rPr>
        <w:t>al.,</w:t>
      </w:r>
      <w:proofErr w:type="gramEnd"/>
      <w:r w:rsidR="00626683">
        <w:rPr>
          <w:lang w:val="fr-FR"/>
        </w:rPr>
        <w:t xml:space="preserve"> 1998 ; Leray et de la Roncière, 2002)</w:t>
      </w:r>
      <w:r w:rsidR="004A779D">
        <w:rPr>
          <w:lang w:val="fr-FR"/>
        </w:rPr>
        <w:t xml:space="preserve">. </w:t>
      </w:r>
      <w:r w:rsidR="001B314B">
        <w:rPr>
          <w:lang w:val="fr-FR"/>
        </w:rPr>
        <w:t xml:space="preserve">A partir des années 2000, </w:t>
      </w:r>
      <w:r w:rsidR="00A44FD8">
        <w:rPr>
          <w:lang w:val="fr-FR"/>
        </w:rPr>
        <w:t xml:space="preserve">la préoccupation croissante pour le changement climatique </w:t>
      </w:r>
      <w:r w:rsidR="006A5C89">
        <w:rPr>
          <w:lang w:val="fr-FR"/>
        </w:rPr>
        <w:t>s’est traduite par</w:t>
      </w:r>
      <w:r w:rsidR="00A44FD8">
        <w:rPr>
          <w:lang w:val="fr-FR"/>
        </w:rPr>
        <w:t xml:space="preserve"> </w:t>
      </w:r>
      <w:r w:rsidR="00EC2277">
        <w:rPr>
          <w:lang w:val="fr-FR"/>
        </w:rPr>
        <w:t>une multiplication des</w:t>
      </w:r>
      <w:r w:rsidR="00626683">
        <w:rPr>
          <w:lang w:val="fr-FR"/>
        </w:rPr>
        <w:t xml:space="preserve"> programmes de subventions à l’efficacité énergétique</w:t>
      </w:r>
      <w:r w:rsidR="00602AE7">
        <w:rPr>
          <w:lang w:val="fr-FR"/>
        </w:rPr>
        <w:t xml:space="preserve"> dans le logement</w:t>
      </w:r>
      <w:r w:rsidR="0005188A" w:rsidRPr="001D0A76">
        <w:rPr>
          <w:lang w:val="fr-FR"/>
        </w:rPr>
        <w:t xml:space="preserve"> </w:t>
      </w:r>
      <w:r w:rsidR="0005188A">
        <w:rPr>
          <w:lang w:val="fr-FR"/>
        </w:rPr>
        <w:t>– crédit d’impôt pour le développement durable (devenu depuis le crédit</w:t>
      </w:r>
      <w:r w:rsidR="0005188A" w:rsidRPr="001D0A76">
        <w:rPr>
          <w:lang w:val="fr-FR"/>
        </w:rPr>
        <w:t xml:space="preserve"> d'impôt </w:t>
      </w:r>
      <w:r w:rsidR="0005188A">
        <w:rPr>
          <w:lang w:val="fr-FR"/>
        </w:rPr>
        <w:t>pour la transition énergétique, CITE</w:t>
      </w:r>
      <w:r w:rsidR="00F414A6">
        <w:rPr>
          <w:lang w:val="fr-FR"/>
        </w:rPr>
        <w:t>) et taxe sur la valeur ajoutée</w:t>
      </w:r>
      <w:r w:rsidR="0005188A" w:rsidRPr="001D0A76">
        <w:rPr>
          <w:lang w:val="fr-FR"/>
        </w:rPr>
        <w:t xml:space="preserve"> réduite </w:t>
      </w:r>
      <w:r w:rsidR="00F414A6">
        <w:rPr>
          <w:lang w:val="fr-FR"/>
        </w:rPr>
        <w:t>(TVAr)</w:t>
      </w:r>
      <w:r w:rsidR="001817F8">
        <w:rPr>
          <w:lang w:val="fr-FR"/>
        </w:rPr>
        <w:t xml:space="preserve"> </w:t>
      </w:r>
      <w:r w:rsidR="0005188A" w:rsidRPr="001D0A76">
        <w:rPr>
          <w:lang w:val="fr-FR"/>
        </w:rPr>
        <w:t xml:space="preserve">en 2005, certificats </w:t>
      </w:r>
      <w:r w:rsidR="0005188A">
        <w:rPr>
          <w:lang w:val="fr-FR"/>
        </w:rPr>
        <w:t xml:space="preserve">d’économies d’énergie </w:t>
      </w:r>
      <w:r w:rsidR="0005188A" w:rsidRPr="001D0A76">
        <w:rPr>
          <w:lang w:val="fr-FR"/>
        </w:rPr>
        <w:t>(</w:t>
      </w:r>
      <w:r w:rsidR="0005188A">
        <w:rPr>
          <w:lang w:val="fr-FR"/>
        </w:rPr>
        <w:t>CEE</w:t>
      </w:r>
      <w:r w:rsidR="0005188A" w:rsidRPr="001D0A76">
        <w:rPr>
          <w:lang w:val="fr-FR"/>
        </w:rPr>
        <w:t xml:space="preserve">) en 2006 et </w:t>
      </w:r>
      <w:r w:rsidR="0005188A">
        <w:rPr>
          <w:lang w:val="fr-FR"/>
        </w:rPr>
        <w:t>éco-prêt</w:t>
      </w:r>
      <w:r w:rsidR="0005188A" w:rsidRPr="001D0A76">
        <w:rPr>
          <w:lang w:val="fr-FR"/>
        </w:rPr>
        <w:t xml:space="preserve"> </w:t>
      </w:r>
      <w:r w:rsidR="0005188A">
        <w:rPr>
          <w:lang w:val="fr-FR"/>
        </w:rPr>
        <w:t xml:space="preserve">à taux zéro </w:t>
      </w:r>
      <w:r w:rsidR="0005188A" w:rsidRPr="001D0A76">
        <w:rPr>
          <w:lang w:val="fr-FR"/>
        </w:rPr>
        <w:t>(</w:t>
      </w:r>
      <w:r w:rsidR="0005188A">
        <w:rPr>
          <w:lang w:val="fr-FR"/>
        </w:rPr>
        <w:t>EPTZ</w:t>
      </w:r>
      <w:r w:rsidR="0005188A" w:rsidRPr="001D0A76">
        <w:rPr>
          <w:lang w:val="fr-FR"/>
        </w:rPr>
        <w:t>) en 2009.</w:t>
      </w:r>
      <w:r w:rsidR="0005188A">
        <w:rPr>
          <w:lang w:val="fr-FR"/>
        </w:rPr>
        <w:t xml:space="preserve"> A ces instruments s’ajoute depuis 2014 la taxe carbone</w:t>
      </w:r>
      <w:r w:rsidR="00510CDF">
        <w:rPr>
          <w:lang w:val="fr-FR"/>
        </w:rPr>
        <w:t xml:space="preserve"> (TC)</w:t>
      </w:r>
      <w:r w:rsidR="0005188A">
        <w:rPr>
          <w:lang w:val="fr-FR"/>
        </w:rPr>
        <w:t xml:space="preserve">, </w:t>
      </w:r>
      <w:r w:rsidR="00A609B3">
        <w:rPr>
          <w:lang w:val="fr-FR"/>
        </w:rPr>
        <w:t>dont la progression a connu un coup d’arrêt en 2019 à la suite du mouvement des Gilets jaunes.</w:t>
      </w:r>
    </w:p>
    <w:p w14:paraId="58EC8CBC" w14:textId="7551DE59" w:rsidR="002652C4" w:rsidRDefault="002652C4" w:rsidP="002652C4">
      <w:pPr>
        <w:rPr>
          <w:lang w:val="fr-FR"/>
        </w:rPr>
      </w:pPr>
      <w:r>
        <w:rPr>
          <w:lang w:val="fr-FR"/>
        </w:rPr>
        <w:t xml:space="preserve">Aujourd’hui, ces politiques publiques doivent concourir à l’atteinte des objectifs d’amélioration de l’efficacité énergétique des logements définis dans le cadre de la </w:t>
      </w:r>
      <w:r w:rsidR="00C01CE3">
        <w:rPr>
          <w:lang w:val="fr-FR"/>
        </w:rPr>
        <w:t>Stratégie Nationale Bas-Carbone</w:t>
      </w:r>
      <w:r w:rsidR="00AD4A27">
        <w:rPr>
          <w:lang w:val="fr-FR"/>
        </w:rPr>
        <w:t xml:space="preserve"> (SNBC)</w:t>
      </w:r>
      <w:r>
        <w:rPr>
          <w:lang w:val="fr-FR"/>
        </w:rPr>
        <w:t>, qui décline au niveau sectoriel les engagements de réduction des émissions de gaz à effet de serre pris par la France dans le cadre de l’Accord de Par</w:t>
      </w:r>
      <w:r w:rsidR="008A2EE7">
        <w:rPr>
          <w:lang w:val="fr-FR"/>
        </w:rPr>
        <w:t>i</w:t>
      </w:r>
      <w:r>
        <w:rPr>
          <w:lang w:val="fr-FR"/>
        </w:rPr>
        <w:t>s.</w:t>
      </w:r>
      <w:r w:rsidR="008A2EE7">
        <w:rPr>
          <w:lang w:val="fr-FR"/>
        </w:rPr>
        <w:t xml:space="preserve"> </w:t>
      </w:r>
      <w:r w:rsidR="00F2177B">
        <w:rPr>
          <w:lang w:val="fr-FR"/>
        </w:rPr>
        <w:t>L</w:t>
      </w:r>
      <w:r w:rsidR="008341E3">
        <w:rPr>
          <w:lang w:val="fr-FR"/>
        </w:rPr>
        <w:t xml:space="preserve">a consommation d’énergie dans le logement </w:t>
      </w:r>
      <w:r w:rsidR="00F2177B">
        <w:rPr>
          <w:lang w:val="fr-FR"/>
        </w:rPr>
        <w:t xml:space="preserve">est soumise aux objectifs </w:t>
      </w:r>
      <w:r w:rsidR="008341E3">
        <w:rPr>
          <w:lang w:val="fr-FR"/>
        </w:rPr>
        <w:t>suivants</w:t>
      </w:r>
      <w:r w:rsidR="00232B74">
        <w:rPr>
          <w:lang w:val="fr-FR"/>
        </w:rPr>
        <w:t xml:space="preserve"> (IGF et CGEDD, 2017)</w:t>
      </w:r>
      <w:r w:rsidR="008A2EE7">
        <w:rPr>
          <w:lang w:val="fr-FR"/>
        </w:rPr>
        <w:t> :</w:t>
      </w:r>
    </w:p>
    <w:p w14:paraId="1745C41D" w14:textId="77777777" w:rsidR="00FF1568" w:rsidRPr="005E0E66" w:rsidRDefault="00FF1568" w:rsidP="00FF1568">
      <w:pPr>
        <w:pStyle w:val="Paragraphedeliste"/>
        <w:numPr>
          <w:ilvl w:val="0"/>
          <w:numId w:val="13"/>
        </w:numPr>
        <w:rPr>
          <w:i/>
          <w:lang w:val="fr-FR"/>
        </w:rPr>
      </w:pPr>
      <w:r w:rsidRPr="005E0E66">
        <w:rPr>
          <w:i/>
          <w:lang w:val="fr-FR"/>
        </w:rPr>
        <w:t>Objectif 1 : réduire la consommation d’énergie de 20 % d’ici 2030 et de 50 % d’ici 2050 par rapport aux niveaux de 2012.</w:t>
      </w:r>
    </w:p>
    <w:p w14:paraId="6A813BAA" w14:textId="77777777" w:rsidR="00FF1568" w:rsidRPr="005E0E66" w:rsidRDefault="00FF1568" w:rsidP="00FF1568">
      <w:pPr>
        <w:pStyle w:val="Paragraphedeliste"/>
        <w:numPr>
          <w:ilvl w:val="0"/>
          <w:numId w:val="13"/>
        </w:numPr>
        <w:rPr>
          <w:i/>
          <w:lang w:val="fr-FR"/>
        </w:rPr>
      </w:pPr>
      <w:r w:rsidRPr="005E0E66">
        <w:rPr>
          <w:i/>
          <w:lang w:val="fr-FR"/>
        </w:rPr>
        <w:t>Objectif 2 : rénover 500 000 logements chaque année, dont 120 000 logements sociaux.</w:t>
      </w:r>
    </w:p>
    <w:p w14:paraId="7ADACC42" w14:textId="2B097F2F" w:rsidR="00FF1568" w:rsidRPr="005E0E66" w:rsidRDefault="00FF1568" w:rsidP="00FF1568">
      <w:pPr>
        <w:pStyle w:val="Paragraphedeliste"/>
        <w:numPr>
          <w:ilvl w:val="0"/>
          <w:numId w:val="13"/>
        </w:numPr>
        <w:rPr>
          <w:i/>
          <w:lang w:val="fr-FR"/>
        </w:rPr>
      </w:pPr>
      <w:r w:rsidRPr="005E0E66">
        <w:rPr>
          <w:i/>
          <w:lang w:val="fr-FR"/>
        </w:rPr>
        <w:t>Objectif 3 : éliminer les logements les moins efficaces –</w:t>
      </w:r>
      <w:r w:rsidR="00591BE7" w:rsidRPr="005E0E66">
        <w:rPr>
          <w:i/>
          <w:lang w:val="fr-FR"/>
        </w:rPr>
        <w:t xml:space="preserve"> </w:t>
      </w:r>
      <w:r w:rsidRPr="005E0E66">
        <w:rPr>
          <w:i/>
          <w:lang w:val="fr-FR"/>
        </w:rPr>
        <w:t>étiquettes G et F du diagnostic de performance énergétique (DPE) – d’ici 2025.</w:t>
      </w:r>
    </w:p>
    <w:p w14:paraId="36DB0892" w14:textId="2429B361" w:rsidR="00FF1568" w:rsidRPr="005E0E66" w:rsidRDefault="00FF1568" w:rsidP="00FF1568">
      <w:pPr>
        <w:pStyle w:val="Paragraphedeliste"/>
        <w:numPr>
          <w:ilvl w:val="0"/>
          <w:numId w:val="13"/>
        </w:numPr>
        <w:rPr>
          <w:i/>
          <w:lang w:val="fr-FR"/>
        </w:rPr>
      </w:pPr>
      <w:r w:rsidRPr="005E0E66">
        <w:rPr>
          <w:i/>
          <w:lang w:val="fr-FR"/>
        </w:rPr>
        <w:t xml:space="preserve">Objectif 4 : améliorer la performance du parc de logements </w:t>
      </w:r>
      <w:r w:rsidR="00591BE7">
        <w:rPr>
          <w:i/>
          <w:lang w:val="fr-FR"/>
        </w:rPr>
        <w:t xml:space="preserve">au niveau « bâtiment basse consommation », soit </w:t>
      </w:r>
      <w:r w:rsidRPr="005E0E66">
        <w:rPr>
          <w:i/>
          <w:lang w:val="fr-FR"/>
        </w:rPr>
        <w:t>un niveau minimum équivalent à l’étiquette B du DPE d’ici 2050.</w:t>
      </w:r>
    </w:p>
    <w:p w14:paraId="0BE4A7FA" w14:textId="77777777" w:rsidR="00FF1568" w:rsidRPr="005E0E66" w:rsidRDefault="00FF1568" w:rsidP="00FF1568">
      <w:pPr>
        <w:pStyle w:val="Paragraphedeliste"/>
        <w:numPr>
          <w:ilvl w:val="0"/>
          <w:numId w:val="13"/>
        </w:numPr>
        <w:rPr>
          <w:i/>
          <w:lang w:val="fr-FR"/>
        </w:rPr>
      </w:pPr>
      <w:r w:rsidRPr="005E0E66">
        <w:rPr>
          <w:i/>
          <w:lang w:val="fr-FR"/>
        </w:rPr>
        <w:t>Objectif 5 : réduire la précarité énergétique de 15 % d'ici 2020.</w:t>
      </w:r>
    </w:p>
    <w:p w14:paraId="240D0C08" w14:textId="416AFD31" w:rsidR="006255EE" w:rsidRDefault="006255EE" w:rsidP="001D0A76">
      <w:pPr>
        <w:rPr>
          <w:lang w:val="fr-FR"/>
        </w:rPr>
      </w:pPr>
      <w:r>
        <w:rPr>
          <w:lang w:val="fr-FR"/>
        </w:rPr>
        <w:t>Face à un tel foisonnement de politiques publiques d’une part, d’objectifs à atteindre d’autre part, les questions suivantes s’imposent :</w:t>
      </w:r>
      <w:r w:rsidR="00356705">
        <w:rPr>
          <w:lang w:val="fr-FR"/>
        </w:rPr>
        <w:t xml:space="preserve"> </w:t>
      </w:r>
      <w:r w:rsidR="00055E2B">
        <w:rPr>
          <w:lang w:val="fr-FR"/>
        </w:rPr>
        <w:t>C</w:t>
      </w:r>
      <w:r w:rsidR="00356705">
        <w:rPr>
          <w:lang w:val="fr-FR"/>
        </w:rPr>
        <w:t xml:space="preserve">es objectifs </w:t>
      </w:r>
      <w:r w:rsidR="00055E2B">
        <w:rPr>
          <w:lang w:val="fr-FR"/>
        </w:rPr>
        <w:t>sont-ils compatibles entre eux</w:t>
      </w:r>
      <w:r w:rsidR="00356705">
        <w:rPr>
          <w:lang w:val="fr-FR"/>
        </w:rPr>
        <w:t xml:space="preserve"> ? Les politiques en place </w:t>
      </w:r>
      <w:r w:rsidR="003C0F30">
        <w:rPr>
          <w:lang w:val="fr-FR"/>
        </w:rPr>
        <w:t>permettent-elles de les atteindre</w:t>
      </w:r>
      <w:r w:rsidR="00356705">
        <w:rPr>
          <w:lang w:val="fr-FR"/>
        </w:rPr>
        <w:t> ? Si oui, à quel coût, et pour quels effets distributifs ?</w:t>
      </w:r>
    </w:p>
    <w:p w14:paraId="60C94F7A" w14:textId="1CF4ECB0" w:rsidR="00716704" w:rsidRDefault="000019C5" w:rsidP="006B0EC1">
      <w:pPr>
        <w:rPr>
          <w:lang w:val="fr-FR"/>
        </w:rPr>
      </w:pPr>
      <w:r>
        <w:rPr>
          <w:lang w:val="fr-FR"/>
        </w:rPr>
        <w:t xml:space="preserve">Répondre à ces questions suppose de prendre en compte </w:t>
      </w:r>
      <w:r w:rsidR="00ED6F9D">
        <w:rPr>
          <w:lang w:val="fr-FR"/>
        </w:rPr>
        <w:t xml:space="preserve">la complexité </w:t>
      </w:r>
      <w:r w:rsidR="00F00A0A">
        <w:rPr>
          <w:lang w:val="fr-FR"/>
        </w:rPr>
        <w:t xml:space="preserve">et l’hétérogénéité </w:t>
      </w:r>
      <w:r w:rsidR="00764A3E">
        <w:rPr>
          <w:lang w:val="fr-FR"/>
        </w:rPr>
        <w:t xml:space="preserve">des </w:t>
      </w:r>
      <w:r w:rsidR="00F00A0A">
        <w:rPr>
          <w:lang w:val="fr-FR"/>
        </w:rPr>
        <w:t xml:space="preserve">déterminants de la </w:t>
      </w:r>
      <w:r w:rsidR="00764A3E">
        <w:rPr>
          <w:lang w:val="fr-FR"/>
        </w:rPr>
        <w:t xml:space="preserve">consommation d’énergie dans le domaine du logement. </w:t>
      </w:r>
      <w:r w:rsidR="00315FC9">
        <w:rPr>
          <w:lang w:val="fr-FR"/>
        </w:rPr>
        <w:t xml:space="preserve">En effet, l’optimisme des études d’ingénieur se heurte à </w:t>
      </w:r>
      <w:r w:rsidR="00F57CC8">
        <w:rPr>
          <w:lang w:val="fr-FR"/>
        </w:rPr>
        <w:t xml:space="preserve">un faisceau d’évidence </w:t>
      </w:r>
      <w:r w:rsidR="00F757E4">
        <w:rPr>
          <w:lang w:val="fr-FR"/>
        </w:rPr>
        <w:t xml:space="preserve">révélant </w:t>
      </w:r>
      <w:r w:rsidR="00F57CC8">
        <w:rPr>
          <w:lang w:val="fr-FR"/>
        </w:rPr>
        <w:t>un écart systématique entre les économies d’énergie réalisables et réalisées – phénomène connu sous le terme d’</w:t>
      </w:r>
      <w:r w:rsidR="00F57CC8" w:rsidRPr="005E0E66">
        <w:rPr>
          <w:i/>
          <w:lang w:val="fr-FR"/>
        </w:rPr>
        <w:t>Energy Efficiency Gap</w:t>
      </w:r>
      <w:r w:rsidR="00F57CC8">
        <w:rPr>
          <w:lang w:val="fr-FR"/>
        </w:rPr>
        <w:t xml:space="preserve"> (Jaffe et Stavins, 1994</w:t>
      </w:r>
      <w:r w:rsidR="002C2794">
        <w:rPr>
          <w:lang w:val="fr-FR"/>
        </w:rPr>
        <w:t> ; Allcott and Greenstone, 2012</w:t>
      </w:r>
      <w:r w:rsidR="00CD3324">
        <w:rPr>
          <w:lang w:val="fr-FR"/>
        </w:rPr>
        <w:t xml:space="preserve">). </w:t>
      </w:r>
      <w:r w:rsidR="006B0EC1">
        <w:rPr>
          <w:lang w:val="fr-FR"/>
        </w:rPr>
        <w:t xml:space="preserve">Si les causes de ce phénomène sont multiples, les plus récurrentes incluent : l’effet rebond, ajustement comportemental transférant une partie des gains d’efficacité énergétique en </w:t>
      </w:r>
      <w:r w:rsidR="00F907D5">
        <w:rPr>
          <w:lang w:val="fr-FR"/>
        </w:rPr>
        <w:t>amélioration</w:t>
      </w:r>
      <w:r w:rsidR="006B0EC1">
        <w:rPr>
          <w:lang w:val="fr-FR"/>
        </w:rPr>
        <w:t xml:space="preserve"> du confort ; le dilemme propriétaire-locataire, </w:t>
      </w:r>
      <w:r w:rsidR="00392AEF">
        <w:rPr>
          <w:lang w:val="fr-FR"/>
        </w:rPr>
        <w:t xml:space="preserve">qui implique une réticence des </w:t>
      </w:r>
      <w:r w:rsidR="006B0EC1">
        <w:rPr>
          <w:lang w:val="fr-FR"/>
        </w:rPr>
        <w:t xml:space="preserve">propriétaires à investir dans des technologies dont les bénéfices reviennent aux locataires ; </w:t>
      </w:r>
      <w:r w:rsidR="006B0EC1">
        <w:rPr>
          <w:lang w:val="fr-FR"/>
        </w:rPr>
        <w:lastRenderedPageBreak/>
        <w:t xml:space="preserve">les </w:t>
      </w:r>
      <w:r w:rsidR="00392AEF">
        <w:rPr>
          <w:lang w:val="fr-FR"/>
        </w:rPr>
        <w:t xml:space="preserve">règles de copropriété qui ralentissent la </w:t>
      </w:r>
      <w:r w:rsidR="006B0EC1">
        <w:rPr>
          <w:lang w:val="fr-FR"/>
        </w:rPr>
        <w:t xml:space="preserve">décision collective </w:t>
      </w:r>
      <w:r w:rsidR="00CE5BCE">
        <w:rPr>
          <w:lang w:val="fr-FR"/>
        </w:rPr>
        <w:t>dans l’habitat collectif</w:t>
      </w:r>
      <w:r w:rsidR="006B0EC1">
        <w:rPr>
          <w:lang w:val="fr-FR"/>
        </w:rPr>
        <w:t xml:space="preserve"> ; </w:t>
      </w:r>
      <w:r w:rsidR="0020094D">
        <w:rPr>
          <w:lang w:val="fr-FR"/>
        </w:rPr>
        <w:t>l’accès</w:t>
      </w:r>
      <w:r w:rsidR="006B0EC1">
        <w:rPr>
          <w:lang w:val="fr-FR"/>
        </w:rPr>
        <w:t xml:space="preserve"> hétérogène </w:t>
      </w:r>
      <w:r w:rsidR="0020094D">
        <w:rPr>
          <w:lang w:val="fr-FR"/>
        </w:rPr>
        <w:t xml:space="preserve">des ménages au </w:t>
      </w:r>
      <w:r w:rsidR="006B0EC1">
        <w:rPr>
          <w:lang w:val="fr-FR"/>
        </w:rPr>
        <w:t xml:space="preserve">crédit </w:t>
      </w:r>
      <w:r w:rsidR="0020094D">
        <w:rPr>
          <w:lang w:val="fr-FR"/>
        </w:rPr>
        <w:t>en fonction de leur</w:t>
      </w:r>
      <w:r w:rsidR="006B0EC1">
        <w:rPr>
          <w:lang w:val="fr-FR"/>
        </w:rPr>
        <w:t xml:space="preserve"> revenu ; les coûts cachés de la rénovation énergétique, </w:t>
      </w:r>
      <w:r w:rsidR="00F57CC8">
        <w:rPr>
          <w:lang w:val="fr-FR"/>
        </w:rPr>
        <w:t>co</w:t>
      </w:r>
      <w:r w:rsidR="007D7146">
        <w:rPr>
          <w:lang w:val="fr-FR"/>
        </w:rPr>
        <w:t>mme l’immobilisation du logement pendant</w:t>
      </w:r>
      <w:r w:rsidR="00F57CC8">
        <w:rPr>
          <w:lang w:val="fr-FR"/>
        </w:rPr>
        <w:t xml:space="preserve"> les travaux de rénovation</w:t>
      </w:r>
      <w:r w:rsidR="00CD3324">
        <w:rPr>
          <w:lang w:val="fr-FR"/>
        </w:rPr>
        <w:t xml:space="preserve"> (</w:t>
      </w:r>
      <w:r w:rsidR="007D08E9">
        <w:rPr>
          <w:lang w:val="fr-FR"/>
        </w:rPr>
        <w:t xml:space="preserve">Sorrell, 2004 ; Gillingham et al., 2009 ; </w:t>
      </w:r>
      <w:r w:rsidR="00CD3324">
        <w:rPr>
          <w:lang w:val="fr-FR"/>
        </w:rPr>
        <w:t>Gerarden et al., 2017).</w:t>
      </w:r>
    </w:p>
    <w:p w14:paraId="6C411A71" w14:textId="7DD584D0" w:rsidR="00716704" w:rsidRDefault="001D0A76" w:rsidP="00965BA6">
      <w:pPr>
        <w:rPr>
          <w:lang w:val="fr-FR"/>
        </w:rPr>
      </w:pPr>
      <w:r w:rsidRPr="001D0A76">
        <w:rPr>
          <w:lang w:val="fr-FR"/>
        </w:rPr>
        <w:t xml:space="preserve">Dans </w:t>
      </w:r>
      <w:r w:rsidR="00C44DA7">
        <w:rPr>
          <w:lang w:val="fr-FR"/>
        </w:rPr>
        <w:t>cet article</w:t>
      </w:r>
      <w:r w:rsidRPr="001D0A76">
        <w:rPr>
          <w:lang w:val="fr-FR"/>
        </w:rPr>
        <w:t xml:space="preserve">, nous évaluons </w:t>
      </w:r>
      <w:r w:rsidR="00C44DA7">
        <w:rPr>
          <w:lang w:val="fr-FR"/>
        </w:rPr>
        <w:t xml:space="preserve">la contribution des principales </w:t>
      </w:r>
      <w:r w:rsidRPr="001D0A76">
        <w:rPr>
          <w:lang w:val="fr-FR"/>
        </w:rPr>
        <w:t xml:space="preserve">politiques </w:t>
      </w:r>
      <w:r w:rsidR="00C44DA7">
        <w:rPr>
          <w:lang w:val="fr-FR"/>
        </w:rPr>
        <w:t>de rénova</w:t>
      </w:r>
      <w:r w:rsidR="005E0E66">
        <w:rPr>
          <w:lang w:val="fr-FR"/>
        </w:rPr>
        <w:t>tion énergétique à l’atteinte d</w:t>
      </w:r>
      <w:r w:rsidR="00C44DA7">
        <w:rPr>
          <w:lang w:val="fr-FR"/>
        </w:rPr>
        <w:t>es objectifs</w:t>
      </w:r>
      <w:r w:rsidR="002A1C8F">
        <w:rPr>
          <w:lang w:val="fr-FR"/>
        </w:rPr>
        <w:t xml:space="preserve"> de la SNBC</w:t>
      </w:r>
      <w:r w:rsidR="00A54BDA">
        <w:rPr>
          <w:lang w:val="fr-FR"/>
        </w:rPr>
        <w:t xml:space="preserve"> </w:t>
      </w:r>
      <w:r w:rsidR="00716704">
        <w:rPr>
          <w:lang w:val="fr-FR"/>
        </w:rPr>
        <w:t xml:space="preserve">en utilisant Res-IRF, un modèle technico-économique qui vise précisément à décrire les </w:t>
      </w:r>
      <w:r w:rsidR="00171612">
        <w:rPr>
          <w:lang w:val="fr-FR"/>
        </w:rPr>
        <w:t xml:space="preserve">principales </w:t>
      </w:r>
      <w:r w:rsidR="002A1C8F">
        <w:rPr>
          <w:lang w:val="fr-FR"/>
        </w:rPr>
        <w:t>barrières comportementales à l’amélioration énergétique des logements</w:t>
      </w:r>
      <w:r w:rsidR="00716704">
        <w:rPr>
          <w:lang w:val="fr-FR"/>
        </w:rPr>
        <w:t xml:space="preserve">. </w:t>
      </w:r>
      <w:r w:rsidR="00907E8B">
        <w:rPr>
          <w:lang w:val="fr-FR"/>
        </w:rPr>
        <w:t>D</w:t>
      </w:r>
      <w:r w:rsidR="002A1C8F">
        <w:rPr>
          <w:lang w:val="fr-FR"/>
        </w:rPr>
        <w:t>éveloppé au CIRED depuis 2009</w:t>
      </w:r>
      <w:r w:rsidR="00FE528D">
        <w:rPr>
          <w:lang w:val="fr-FR"/>
        </w:rPr>
        <w:t xml:space="preserve"> (Giraudet et </w:t>
      </w:r>
      <w:proofErr w:type="gramStart"/>
      <w:r w:rsidR="00FE528D">
        <w:rPr>
          <w:lang w:val="fr-FR"/>
        </w:rPr>
        <w:t>al.,</w:t>
      </w:r>
      <w:proofErr w:type="gramEnd"/>
      <w:r w:rsidR="00FE528D">
        <w:rPr>
          <w:lang w:val="fr-FR"/>
        </w:rPr>
        <w:t xml:space="preserve"> 2012)</w:t>
      </w:r>
      <w:r w:rsidR="00907E8B">
        <w:rPr>
          <w:lang w:val="fr-FR"/>
        </w:rPr>
        <w:t xml:space="preserve">, le modèle Res-IRF </w:t>
      </w:r>
      <w:r w:rsidR="00287E45">
        <w:rPr>
          <w:lang w:val="fr-FR"/>
        </w:rPr>
        <w:t xml:space="preserve">a </w:t>
      </w:r>
      <w:r w:rsidR="00287E45" w:rsidRPr="00287E45">
        <w:rPr>
          <w:lang w:val="fr-FR"/>
        </w:rPr>
        <w:t>pour v</w:t>
      </w:r>
      <w:r w:rsidR="00287E45" w:rsidRPr="004D41F2">
        <w:rPr>
          <w:lang w:val="fr-FR"/>
        </w:rPr>
        <w:t>oc</w:t>
      </w:r>
      <w:r w:rsidR="00287E45" w:rsidRPr="006651A6">
        <w:rPr>
          <w:lang w:val="fr-FR"/>
        </w:rPr>
        <w:t>at</w:t>
      </w:r>
      <w:r w:rsidR="00287E45" w:rsidRPr="005D44E0">
        <w:rPr>
          <w:lang w:val="fr-FR"/>
        </w:rPr>
        <w:t>io</w:t>
      </w:r>
      <w:r w:rsidR="00287E45" w:rsidRPr="0011323F">
        <w:rPr>
          <w:lang w:val="fr-FR"/>
        </w:rPr>
        <w:t xml:space="preserve">n </w:t>
      </w:r>
      <w:r w:rsidR="00287E45" w:rsidRPr="005E0E66">
        <w:rPr>
          <w:iCs/>
          <w:lang w:val="fr-FR"/>
        </w:rPr>
        <w:t xml:space="preserve">d’améliorer le réalisme comportemental qui fait généralement défaut aux modèles intégrés de demande d'énergie (Mundaca et al., 2010, McCollum et al., 2017). </w:t>
      </w:r>
      <w:r w:rsidR="00171612">
        <w:rPr>
          <w:lang w:val="fr-FR"/>
        </w:rPr>
        <w:t>Il</w:t>
      </w:r>
      <w:r w:rsidR="00DF57F6">
        <w:rPr>
          <w:lang w:val="fr-FR"/>
        </w:rPr>
        <w:t xml:space="preserve"> se caractérise par une élasticité-prix de la demande d’énergie de -0,2 à court terme, -0,4 à long terme, et par un effet rebond de l’ordre de 20%, </w:t>
      </w:r>
      <w:r w:rsidR="00A812A7">
        <w:rPr>
          <w:lang w:val="fr-FR"/>
        </w:rPr>
        <w:t xml:space="preserve">soit des </w:t>
      </w:r>
      <w:r w:rsidR="00DF57F6">
        <w:rPr>
          <w:lang w:val="fr-FR"/>
        </w:rPr>
        <w:t>ordre</w:t>
      </w:r>
      <w:r w:rsidR="00A812A7">
        <w:rPr>
          <w:lang w:val="fr-FR"/>
        </w:rPr>
        <w:t>s</w:t>
      </w:r>
      <w:r w:rsidR="00DF57F6">
        <w:rPr>
          <w:lang w:val="fr-FR"/>
        </w:rPr>
        <w:t xml:space="preserve"> de grandeur cohérent</w:t>
      </w:r>
      <w:r w:rsidR="00A812A7">
        <w:rPr>
          <w:lang w:val="fr-FR"/>
        </w:rPr>
        <w:t>s</w:t>
      </w:r>
      <w:r w:rsidR="00DF57F6">
        <w:rPr>
          <w:lang w:val="fr-FR"/>
        </w:rPr>
        <w:t xml:space="preserve"> avec les estimations fréquemment rencontrées dans la littérature</w:t>
      </w:r>
      <w:r w:rsidR="00501AC6">
        <w:rPr>
          <w:lang w:val="fr-FR"/>
        </w:rPr>
        <w:t xml:space="preserve"> (Sorrell</w:t>
      </w:r>
      <w:r w:rsidR="00E9135A">
        <w:rPr>
          <w:lang w:val="fr-FR"/>
        </w:rPr>
        <w:t xml:space="preserve"> et </w:t>
      </w:r>
      <w:proofErr w:type="gramStart"/>
      <w:r w:rsidR="00E9135A">
        <w:rPr>
          <w:lang w:val="fr-FR"/>
        </w:rPr>
        <w:t>al.</w:t>
      </w:r>
      <w:r w:rsidR="00501AC6">
        <w:rPr>
          <w:lang w:val="fr-FR"/>
        </w:rPr>
        <w:t>,</w:t>
      </w:r>
      <w:proofErr w:type="gramEnd"/>
      <w:r w:rsidR="00501AC6">
        <w:rPr>
          <w:lang w:val="fr-FR"/>
        </w:rPr>
        <w:t xml:space="preserve"> 20</w:t>
      </w:r>
      <w:r w:rsidR="005C7016">
        <w:rPr>
          <w:lang w:val="fr-FR"/>
        </w:rPr>
        <w:t>0</w:t>
      </w:r>
      <w:r w:rsidR="00501AC6">
        <w:rPr>
          <w:lang w:val="fr-FR"/>
        </w:rPr>
        <w:t>9 ; Labandeira et al., 2017)</w:t>
      </w:r>
      <w:r w:rsidR="00DF57F6">
        <w:rPr>
          <w:lang w:val="fr-FR"/>
        </w:rPr>
        <w:t xml:space="preserve">. </w:t>
      </w:r>
      <w:r w:rsidR="00A31EE4">
        <w:rPr>
          <w:lang w:val="fr-FR"/>
        </w:rPr>
        <w:t xml:space="preserve">La robustesse du modèle a été établie par une analyse de sensibilité dite globale (Branger et </w:t>
      </w:r>
      <w:proofErr w:type="gramStart"/>
      <w:r w:rsidR="00A31EE4">
        <w:rPr>
          <w:lang w:val="fr-FR"/>
        </w:rPr>
        <w:t>al.,</w:t>
      </w:r>
      <w:proofErr w:type="gramEnd"/>
      <w:r w:rsidR="00A31EE4">
        <w:rPr>
          <w:lang w:val="fr-FR"/>
        </w:rPr>
        <w:t xml:space="preserve"> 2015) et par des rétro</w:t>
      </w:r>
      <w:r w:rsidR="00E60498">
        <w:rPr>
          <w:lang w:val="fr-FR"/>
        </w:rPr>
        <w:t>-</w:t>
      </w:r>
      <w:r w:rsidR="00A31EE4">
        <w:rPr>
          <w:lang w:val="fr-FR"/>
        </w:rPr>
        <w:t>simulations</w:t>
      </w:r>
      <w:r w:rsidR="00C76E1A">
        <w:rPr>
          <w:lang w:val="fr-FR"/>
        </w:rPr>
        <w:t xml:space="preserve"> révélant</w:t>
      </w:r>
      <w:r w:rsidR="00EA5766">
        <w:rPr>
          <w:lang w:val="fr-FR"/>
        </w:rPr>
        <w:t xml:space="preserve"> un</w:t>
      </w:r>
      <w:r w:rsidR="00181A12">
        <w:rPr>
          <w:lang w:val="fr-FR"/>
        </w:rPr>
        <w:t>e erreur de prédiction de moins de 1.5%</w:t>
      </w:r>
      <w:r w:rsidR="00EA5766">
        <w:rPr>
          <w:lang w:val="fr-FR"/>
        </w:rPr>
        <w:t xml:space="preserve"> sur la période 1984-2012</w:t>
      </w:r>
      <w:r w:rsidR="00A31EE4">
        <w:rPr>
          <w:lang w:val="fr-FR"/>
        </w:rPr>
        <w:t xml:space="preserve"> (Glotin et al., 2019). </w:t>
      </w:r>
      <w:r w:rsidR="00965BA6">
        <w:rPr>
          <w:lang w:val="fr-FR"/>
        </w:rPr>
        <w:t>Utilisé dans le cadre d’une évaluation des politiques</w:t>
      </w:r>
      <w:r w:rsidR="002A1C8F">
        <w:rPr>
          <w:lang w:val="fr-FR"/>
        </w:rPr>
        <w:t xml:space="preserve"> du Grenelle de l’environnement</w:t>
      </w:r>
      <w:r w:rsidR="00A915EA">
        <w:rPr>
          <w:lang w:val="fr-FR"/>
        </w:rPr>
        <w:t xml:space="preserve"> (Giraudet et al., 2011)</w:t>
      </w:r>
      <w:r w:rsidR="00965BA6">
        <w:rPr>
          <w:lang w:val="fr-FR"/>
        </w:rPr>
        <w:t xml:space="preserve">, </w:t>
      </w:r>
      <w:r w:rsidR="00555637">
        <w:rPr>
          <w:lang w:val="fr-FR"/>
        </w:rPr>
        <w:t xml:space="preserve">Res-IRF </w:t>
      </w:r>
      <w:r w:rsidR="00965BA6">
        <w:rPr>
          <w:lang w:val="fr-FR"/>
        </w:rPr>
        <w:t>a permis</w:t>
      </w:r>
      <w:r w:rsidR="008E2831">
        <w:rPr>
          <w:lang w:val="fr-FR"/>
        </w:rPr>
        <w:t xml:space="preserve"> d’établir que les politiques en place à l’époque étaient insuffisantes pour atteindre l’objectif ambitieux d’une réduction de la consommation des bâtiments existants de 38% entre 2008 et 2020 – constat alors rejoint avec un outil similaire par Charlier et Risch (2012).</w:t>
      </w:r>
      <w:r w:rsidR="005B49E8">
        <w:rPr>
          <w:lang w:val="fr-FR"/>
        </w:rPr>
        <w:t xml:space="preserve"> Outre la mise à jour des </w:t>
      </w:r>
      <w:r w:rsidR="00860F83">
        <w:rPr>
          <w:lang w:val="fr-FR"/>
        </w:rPr>
        <w:t xml:space="preserve">objectifs et </w:t>
      </w:r>
      <w:r w:rsidR="005B49E8">
        <w:rPr>
          <w:lang w:val="fr-FR"/>
        </w:rPr>
        <w:t xml:space="preserve">politiques à évaluer, l’exercice présenté ici se distingue de l’exercice de 2011 </w:t>
      </w:r>
      <w:r w:rsidR="00C81940">
        <w:rPr>
          <w:lang w:val="fr-FR"/>
        </w:rPr>
        <w:t xml:space="preserve">par deux approfondissements. </w:t>
      </w:r>
      <w:r w:rsidR="00C91422">
        <w:rPr>
          <w:lang w:val="fr-FR"/>
        </w:rPr>
        <w:t>D’une part</w:t>
      </w:r>
      <w:r w:rsidR="00C81940">
        <w:rPr>
          <w:lang w:val="fr-FR"/>
        </w:rPr>
        <w:t xml:space="preserve">, </w:t>
      </w:r>
      <w:r w:rsidR="006856EC">
        <w:rPr>
          <w:lang w:val="fr-FR"/>
        </w:rPr>
        <w:t>le modèle a été re</w:t>
      </w:r>
      <w:r w:rsidR="00E60498">
        <w:rPr>
          <w:lang w:val="fr-FR"/>
        </w:rPr>
        <w:t>-</w:t>
      </w:r>
      <w:r w:rsidR="006856EC">
        <w:rPr>
          <w:lang w:val="fr-FR"/>
        </w:rPr>
        <w:t xml:space="preserve">paramétré avec les données </w:t>
      </w:r>
      <w:r w:rsidR="0009308D">
        <w:rPr>
          <w:lang w:val="fr-FR"/>
        </w:rPr>
        <w:t>de l’</w:t>
      </w:r>
      <w:r w:rsidR="0009308D" w:rsidRPr="001D0A76">
        <w:rPr>
          <w:lang w:val="fr-FR"/>
        </w:rPr>
        <w:t>enquête Phébus</w:t>
      </w:r>
      <w:r w:rsidR="0009308D">
        <w:rPr>
          <w:rStyle w:val="Appelnotedebasdep"/>
          <w:lang w:val="fr-FR"/>
        </w:rPr>
        <w:footnoteReference w:id="1"/>
      </w:r>
      <w:r w:rsidR="00A42B95">
        <w:rPr>
          <w:lang w:val="fr-FR"/>
        </w:rPr>
        <w:t xml:space="preserve">, </w:t>
      </w:r>
      <w:r w:rsidR="00DE300E">
        <w:rPr>
          <w:lang w:val="fr-FR"/>
        </w:rPr>
        <w:t xml:space="preserve">étude d’envergure permettant </w:t>
      </w:r>
      <w:r w:rsidR="0009308D">
        <w:rPr>
          <w:lang w:val="fr-FR"/>
        </w:rPr>
        <w:t xml:space="preserve">notamment </w:t>
      </w:r>
      <w:r w:rsidR="0009308D" w:rsidRPr="001D0A76">
        <w:rPr>
          <w:lang w:val="fr-FR"/>
        </w:rPr>
        <w:t>de segmenter les ménages par niveau de revenu</w:t>
      </w:r>
      <w:r w:rsidR="00A12B6F">
        <w:rPr>
          <w:lang w:val="fr-FR"/>
        </w:rPr>
        <w:t>, et ainsi d’évaluer l</w:t>
      </w:r>
      <w:r w:rsidR="00806C62">
        <w:rPr>
          <w:lang w:val="fr-FR"/>
        </w:rPr>
        <w:t>’effet</w:t>
      </w:r>
      <w:r w:rsidR="00A12B6F">
        <w:rPr>
          <w:lang w:val="fr-FR"/>
        </w:rPr>
        <w:t xml:space="preserve"> des politiques </w:t>
      </w:r>
      <w:r w:rsidR="00806C62">
        <w:rPr>
          <w:lang w:val="fr-FR"/>
        </w:rPr>
        <w:t>sur la précarité énergétique, mesurée ici par le nombre de ménages consacrant plus de 10% de leur revenu à l’énergie pour le chauffage</w:t>
      </w:r>
      <w:r w:rsidR="0009308D" w:rsidRPr="001D0A76">
        <w:rPr>
          <w:lang w:val="fr-FR"/>
        </w:rPr>
        <w:t xml:space="preserve">. </w:t>
      </w:r>
      <w:r w:rsidR="00800F46">
        <w:rPr>
          <w:lang w:val="fr-FR"/>
        </w:rPr>
        <w:t xml:space="preserve">D’autre part, </w:t>
      </w:r>
      <w:r w:rsidR="00BC1D24">
        <w:rPr>
          <w:lang w:val="fr-FR"/>
        </w:rPr>
        <w:t>l’</w:t>
      </w:r>
      <w:r w:rsidR="0009308D" w:rsidRPr="001D0A76">
        <w:rPr>
          <w:lang w:val="fr-FR"/>
        </w:rPr>
        <w:t>évaluation</w:t>
      </w:r>
      <w:r w:rsidR="00FE2D0D">
        <w:rPr>
          <w:lang w:val="fr-FR"/>
        </w:rPr>
        <w:t>,</w:t>
      </w:r>
      <w:r w:rsidR="002C124E">
        <w:rPr>
          <w:lang w:val="fr-FR"/>
        </w:rPr>
        <w:t xml:space="preserve"> qui se limitait </w:t>
      </w:r>
      <w:r w:rsidR="00BC1D24">
        <w:rPr>
          <w:lang w:val="fr-FR"/>
        </w:rPr>
        <w:t xml:space="preserve">précédemment </w:t>
      </w:r>
      <w:r w:rsidR="00623914">
        <w:rPr>
          <w:lang w:val="fr-FR"/>
        </w:rPr>
        <w:t xml:space="preserve">à mesurer </w:t>
      </w:r>
      <w:r w:rsidR="00D5564B" w:rsidRPr="005E0E66">
        <w:rPr>
          <w:i/>
          <w:lang w:val="fr-FR"/>
        </w:rPr>
        <w:t>l</w:t>
      </w:r>
      <w:r w:rsidR="00BC1D24" w:rsidRPr="005E0E66">
        <w:rPr>
          <w:i/>
          <w:lang w:val="fr-FR"/>
        </w:rPr>
        <w:t>’efficacité</w:t>
      </w:r>
      <w:r w:rsidR="00BC1D24">
        <w:rPr>
          <w:lang w:val="fr-FR"/>
        </w:rPr>
        <w:t xml:space="preserve"> </w:t>
      </w:r>
      <w:r w:rsidR="00623914">
        <w:rPr>
          <w:lang w:val="fr-FR"/>
        </w:rPr>
        <w:t xml:space="preserve">des politiques en termes de </w:t>
      </w:r>
      <w:r w:rsidR="00BC1D24">
        <w:rPr>
          <w:lang w:val="fr-FR"/>
        </w:rPr>
        <w:t xml:space="preserve">kilowattheures économisés, prend désormais en compte </w:t>
      </w:r>
      <w:r w:rsidR="00FE2D0D">
        <w:rPr>
          <w:lang w:val="fr-FR"/>
        </w:rPr>
        <w:t>le</w:t>
      </w:r>
      <w:r w:rsidR="00BC1D24">
        <w:rPr>
          <w:lang w:val="fr-FR"/>
        </w:rPr>
        <w:t xml:space="preserve"> coût</w:t>
      </w:r>
      <w:r w:rsidR="00FE2D0D">
        <w:rPr>
          <w:lang w:val="fr-FR"/>
        </w:rPr>
        <w:t xml:space="preserve"> des politiques</w:t>
      </w:r>
      <w:r w:rsidR="00BC1D24">
        <w:rPr>
          <w:lang w:val="fr-FR"/>
        </w:rPr>
        <w:t xml:space="preserve">, permettant </w:t>
      </w:r>
      <w:r w:rsidR="00500468">
        <w:rPr>
          <w:lang w:val="fr-FR"/>
        </w:rPr>
        <w:t>ainsi d’</w:t>
      </w:r>
      <w:r w:rsidR="00986200">
        <w:rPr>
          <w:lang w:val="fr-FR"/>
        </w:rPr>
        <w:t xml:space="preserve">en </w:t>
      </w:r>
      <w:r w:rsidR="00500468">
        <w:rPr>
          <w:lang w:val="fr-FR"/>
        </w:rPr>
        <w:t xml:space="preserve">évaluer </w:t>
      </w:r>
      <w:r w:rsidR="008F57F0" w:rsidRPr="005E0E66">
        <w:rPr>
          <w:i/>
          <w:lang w:val="fr-FR"/>
        </w:rPr>
        <w:t>efficience</w:t>
      </w:r>
      <w:r w:rsidR="008F57F0">
        <w:rPr>
          <w:lang w:val="fr-FR"/>
        </w:rPr>
        <w:t xml:space="preserve">, mesurée par les indicateurs de </w:t>
      </w:r>
      <w:r w:rsidR="00500468">
        <w:rPr>
          <w:lang w:val="fr-FR"/>
        </w:rPr>
        <w:t>coût-efficacité (euro d’incitation publique</w:t>
      </w:r>
      <w:r w:rsidR="00687161">
        <w:rPr>
          <w:lang w:val="fr-FR"/>
        </w:rPr>
        <w:t xml:space="preserve"> par kilowatt</w:t>
      </w:r>
      <w:r w:rsidR="00500468">
        <w:rPr>
          <w:lang w:val="fr-FR"/>
        </w:rPr>
        <w:t>heure économisé</w:t>
      </w:r>
      <w:r w:rsidR="00BC1D24">
        <w:rPr>
          <w:lang w:val="fr-FR"/>
        </w:rPr>
        <w:t>)</w:t>
      </w:r>
      <w:r w:rsidR="00500468">
        <w:rPr>
          <w:lang w:val="fr-FR"/>
        </w:rPr>
        <w:t xml:space="preserve"> et </w:t>
      </w:r>
      <w:r w:rsidR="008F57F0">
        <w:rPr>
          <w:lang w:val="fr-FR"/>
        </w:rPr>
        <w:t>d’</w:t>
      </w:r>
      <w:r w:rsidR="00500468">
        <w:rPr>
          <w:lang w:val="fr-FR"/>
        </w:rPr>
        <w:t xml:space="preserve">effet levier (euro d’investissement supplémentaire </w:t>
      </w:r>
      <w:r w:rsidR="00E60498">
        <w:rPr>
          <w:lang w:val="fr-FR"/>
        </w:rPr>
        <w:t>par euro d’incitation publique)</w:t>
      </w:r>
      <w:r w:rsidR="0009308D" w:rsidRPr="001D0A76">
        <w:rPr>
          <w:lang w:val="fr-FR"/>
        </w:rPr>
        <w:t xml:space="preserve">. </w:t>
      </w:r>
      <w:r w:rsidR="0009308D">
        <w:rPr>
          <w:lang w:val="fr-FR"/>
        </w:rPr>
        <w:t xml:space="preserve">Ces nouveaux critères </w:t>
      </w:r>
      <w:r w:rsidR="0034772A">
        <w:rPr>
          <w:lang w:val="fr-FR"/>
        </w:rPr>
        <w:t xml:space="preserve">– efficience et </w:t>
      </w:r>
      <w:r w:rsidR="00687161">
        <w:rPr>
          <w:lang w:val="fr-FR"/>
        </w:rPr>
        <w:t>précarité énergétique</w:t>
      </w:r>
      <w:r w:rsidR="0034772A">
        <w:rPr>
          <w:lang w:val="fr-FR"/>
        </w:rPr>
        <w:t xml:space="preserve"> – </w:t>
      </w:r>
      <w:r w:rsidR="0009308D">
        <w:rPr>
          <w:lang w:val="fr-FR"/>
        </w:rPr>
        <w:t>permettent une meilleure appréciation des mérites respectifs des différents instruments.</w:t>
      </w:r>
    </w:p>
    <w:p w14:paraId="05F2821F" w14:textId="4E32AC69" w:rsidR="001D0A76" w:rsidRPr="001D0A76" w:rsidRDefault="001D0A76" w:rsidP="001D0A76">
      <w:pPr>
        <w:rPr>
          <w:lang w:val="fr-FR"/>
        </w:rPr>
      </w:pPr>
      <w:r w:rsidRPr="001D0A76">
        <w:rPr>
          <w:lang w:val="fr-FR"/>
        </w:rPr>
        <w:t xml:space="preserve">Nous nous concentrons sur les </w:t>
      </w:r>
      <w:r w:rsidR="00C44DA7">
        <w:rPr>
          <w:lang w:val="fr-FR"/>
        </w:rPr>
        <w:t xml:space="preserve">politiques existantes à la couverture la </w:t>
      </w:r>
      <w:r w:rsidRPr="001D0A76">
        <w:rPr>
          <w:lang w:val="fr-FR"/>
        </w:rPr>
        <w:t>plus large</w:t>
      </w:r>
      <w:r w:rsidR="00417781">
        <w:rPr>
          <w:lang w:val="fr-FR"/>
        </w:rPr>
        <w:t xml:space="preserve"> -</w:t>
      </w:r>
      <w:r w:rsidR="00560272">
        <w:rPr>
          <w:lang w:val="fr-FR"/>
        </w:rPr>
        <w:t xml:space="preserve"> </w:t>
      </w:r>
      <w:r w:rsidR="00CA3302">
        <w:rPr>
          <w:lang w:val="fr-FR"/>
        </w:rPr>
        <w:t>CITE</w:t>
      </w:r>
      <w:r w:rsidRPr="001D0A76">
        <w:rPr>
          <w:lang w:val="fr-FR"/>
        </w:rPr>
        <w:t>, TVA</w:t>
      </w:r>
      <w:r w:rsidR="00C709C6">
        <w:rPr>
          <w:lang w:val="fr-FR"/>
        </w:rPr>
        <w:t>r</w:t>
      </w:r>
      <w:r w:rsidRPr="001D0A76">
        <w:rPr>
          <w:lang w:val="fr-FR"/>
        </w:rPr>
        <w:t xml:space="preserve">, </w:t>
      </w:r>
      <w:r w:rsidR="00CA3302">
        <w:rPr>
          <w:lang w:val="fr-FR"/>
        </w:rPr>
        <w:t>CEE</w:t>
      </w:r>
      <w:r w:rsidRPr="001D0A76">
        <w:rPr>
          <w:lang w:val="fr-FR"/>
        </w:rPr>
        <w:t xml:space="preserve">, </w:t>
      </w:r>
      <w:r w:rsidR="00CA3302">
        <w:rPr>
          <w:lang w:val="fr-FR"/>
        </w:rPr>
        <w:t>EPTZ</w:t>
      </w:r>
      <w:r w:rsidRPr="001D0A76">
        <w:rPr>
          <w:lang w:val="fr-FR"/>
        </w:rPr>
        <w:t xml:space="preserve"> et </w:t>
      </w:r>
      <w:r w:rsidR="00CA3302">
        <w:rPr>
          <w:lang w:val="fr-FR"/>
        </w:rPr>
        <w:t>TC</w:t>
      </w:r>
      <w:r w:rsidRPr="001D0A76">
        <w:rPr>
          <w:lang w:val="fr-FR"/>
        </w:rPr>
        <w:t xml:space="preserve">. </w:t>
      </w:r>
      <w:r w:rsidR="00C44DA7">
        <w:rPr>
          <w:lang w:val="fr-FR"/>
        </w:rPr>
        <w:t>N</w:t>
      </w:r>
      <w:r w:rsidRPr="001D0A76">
        <w:rPr>
          <w:lang w:val="fr-FR"/>
        </w:rPr>
        <w:t xml:space="preserve">ous intégrons </w:t>
      </w:r>
      <w:r w:rsidR="00C44DA7">
        <w:rPr>
          <w:lang w:val="fr-FR"/>
        </w:rPr>
        <w:t xml:space="preserve">de plus la réglementation thermique de </w:t>
      </w:r>
      <w:r w:rsidRPr="001D0A76">
        <w:rPr>
          <w:lang w:val="fr-FR"/>
        </w:rPr>
        <w:t xml:space="preserve">2012 dans notre scénario de référence et simulons </w:t>
      </w:r>
      <w:r w:rsidR="00C44DA7">
        <w:rPr>
          <w:lang w:val="fr-FR"/>
        </w:rPr>
        <w:t xml:space="preserve">la réglementation plus ambitieuse prévue </w:t>
      </w:r>
      <w:r w:rsidRPr="001D0A76">
        <w:rPr>
          <w:lang w:val="fr-FR"/>
        </w:rPr>
        <w:t xml:space="preserve">pour 2020. </w:t>
      </w:r>
      <w:r w:rsidR="00C44DA7">
        <w:rPr>
          <w:lang w:val="fr-FR"/>
        </w:rPr>
        <w:t>N</w:t>
      </w:r>
      <w:r w:rsidRPr="001D0A76">
        <w:rPr>
          <w:lang w:val="fr-FR"/>
        </w:rPr>
        <w:t xml:space="preserve">ous ne tenons </w:t>
      </w:r>
      <w:r w:rsidR="00C44DA7">
        <w:rPr>
          <w:lang w:val="fr-FR"/>
        </w:rPr>
        <w:t xml:space="preserve">en revanche </w:t>
      </w:r>
      <w:r w:rsidRPr="001D0A76">
        <w:rPr>
          <w:lang w:val="fr-FR"/>
        </w:rPr>
        <w:t xml:space="preserve">pas compte de certaines politiques importantes </w:t>
      </w:r>
      <w:r w:rsidR="00C44DA7">
        <w:rPr>
          <w:lang w:val="fr-FR"/>
        </w:rPr>
        <w:t>mais à l’</w:t>
      </w:r>
      <w:r w:rsidRPr="001D0A76">
        <w:rPr>
          <w:lang w:val="fr-FR"/>
        </w:rPr>
        <w:t xml:space="preserve">éligibilité </w:t>
      </w:r>
      <w:r w:rsidR="00C44DA7">
        <w:rPr>
          <w:lang w:val="fr-FR"/>
        </w:rPr>
        <w:t xml:space="preserve">plus </w:t>
      </w:r>
      <w:r w:rsidRPr="001D0A76">
        <w:rPr>
          <w:lang w:val="fr-FR"/>
        </w:rPr>
        <w:t xml:space="preserve">restreinte </w:t>
      </w:r>
      <w:r w:rsidR="00C44DA7">
        <w:rPr>
          <w:lang w:val="fr-FR"/>
        </w:rPr>
        <w:t xml:space="preserve">– comme les </w:t>
      </w:r>
      <w:r w:rsidRPr="001D0A76">
        <w:rPr>
          <w:lang w:val="fr-FR"/>
        </w:rPr>
        <w:t>subventions</w:t>
      </w:r>
      <w:r w:rsidR="00CE7117">
        <w:rPr>
          <w:lang w:val="fr-FR"/>
        </w:rPr>
        <w:t xml:space="preserve"> de l’Agence nationale de l’habitat (Anah)</w:t>
      </w:r>
      <w:r w:rsidRPr="001D0A76">
        <w:rPr>
          <w:lang w:val="fr-FR"/>
        </w:rPr>
        <w:t xml:space="preserve"> ciblant les ménages à faible revenu </w:t>
      </w:r>
      <w:r w:rsidR="00C44DA7">
        <w:rPr>
          <w:lang w:val="fr-FR"/>
        </w:rPr>
        <w:t xml:space="preserve">– ou dont la modélisation est moins évidente </w:t>
      </w:r>
      <w:r w:rsidR="004A0198">
        <w:rPr>
          <w:lang w:val="fr-FR"/>
        </w:rPr>
        <w:t xml:space="preserve">– comme les </w:t>
      </w:r>
      <w:r w:rsidRPr="001D0A76">
        <w:rPr>
          <w:lang w:val="fr-FR"/>
        </w:rPr>
        <w:t>campagnes d</w:t>
      </w:r>
      <w:r w:rsidR="004A0198">
        <w:rPr>
          <w:lang w:val="fr-FR"/>
        </w:rPr>
        <w:t>’</w:t>
      </w:r>
      <w:r w:rsidRPr="001D0A76">
        <w:rPr>
          <w:lang w:val="fr-FR"/>
        </w:rPr>
        <w:t xml:space="preserve">information. </w:t>
      </w:r>
      <w:r w:rsidR="007E7182">
        <w:rPr>
          <w:lang w:val="fr-FR"/>
        </w:rPr>
        <w:t>L’évaluation s’opère</w:t>
      </w:r>
      <w:r w:rsidRPr="001D0A76">
        <w:rPr>
          <w:lang w:val="fr-FR"/>
        </w:rPr>
        <w:t xml:space="preserve"> </w:t>
      </w:r>
      <w:r w:rsidR="004F6EE7">
        <w:rPr>
          <w:lang w:val="fr-FR"/>
        </w:rPr>
        <w:t>dans un cadre d’</w:t>
      </w:r>
      <w:r w:rsidR="004F6EE7" w:rsidRPr="001D0A76">
        <w:rPr>
          <w:lang w:val="fr-FR"/>
        </w:rPr>
        <w:t>équilibre partiel</w:t>
      </w:r>
      <w:r w:rsidR="004F6EE7">
        <w:rPr>
          <w:lang w:val="fr-FR"/>
        </w:rPr>
        <w:t xml:space="preserve"> </w:t>
      </w:r>
      <w:r w:rsidR="007E7182">
        <w:rPr>
          <w:lang w:val="fr-FR"/>
        </w:rPr>
        <w:t xml:space="preserve">et porte spécifiquement sur </w:t>
      </w:r>
      <w:r w:rsidRPr="001D0A76">
        <w:rPr>
          <w:lang w:val="fr-FR"/>
        </w:rPr>
        <w:t>la consommation d'énergie pour le chauffage</w:t>
      </w:r>
      <w:r w:rsidR="007E7182">
        <w:rPr>
          <w:lang w:val="fr-FR"/>
        </w:rPr>
        <w:t xml:space="preserve"> des logements</w:t>
      </w:r>
      <w:r w:rsidRPr="001D0A76">
        <w:rPr>
          <w:lang w:val="fr-FR"/>
        </w:rPr>
        <w:t xml:space="preserve">. Les </w:t>
      </w:r>
      <w:r w:rsidRPr="001D0A76">
        <w:rPr>
          <w:lang w:val="fr-FR"/>
        </w:rPr>
        <w:lastRenderedPageBreak/>
        <w:t xml:space="preserve">bâtiments résidentiels représentant 26 % de la demande finale d'énergie, dont 67 % pour le chauffage, ce périmètre couvre 18 % de la demande </w:t>
      </w:r>
      <w:r w:rsidR="007954ED">
        <w:rPr>
          <w:lang w:val="fr-FR"/>
        </w:rPr>
        <w:t>d’</w:t>
      </w:r>
      <w:r w:rsidRPr="001D0A76">
        <w:rPr>
          <w:lang w:val="fr-FR"/>
        </w:rPr>
        <w:t xml:space="preserve">énergie </w:t>
      </w:r>
      <w:r w:rsidR="007954ED">
        <w:rPr>
          <w:lang w:val="fr-FR"/>
        </w:rPr>
        <w:t xml:space="preserve">finale </w:t>
      </w:r>
      <w:r w:rsidRPr="001D0A76">
        <w:rPr>
          <w:lang w:val="fr-FR"/>
        </w:rPr>
        <w:t>en France.</w:t>
      </w:r>
    </w:p>
    <w:p w14:paraId="43768301" w14:textId="15EAB05B" w:rsidR="001D0A76" w:rsidRPr="001D0A76" w:rsidRDefault="001D0A76" w:rsidP="001D0A76">
      <w:pPr>
        <w:rPr>
          <w:lang w:val="fr-FR"/>
        </w:rPr>
      </w:pPr>
      <w:r w:rsidRPr="001D0A76">
        <w:rPr>
          <w:lang w:val="fr-FR"/>
        </w:rPr>
        <w:t xml:space="preserve">Nous </w:t>
      </w:r>
      <w:r w:rsidR="003019FC">
        <w:rPr>
          <w:lang w:val="fr-FR"/>
        </w:rPr>
        <w:t>concluons</w:t>
      </w:r>
      <w:r w:rsidRPr="001D0A76">
        <w:rPr>
          <w:lang w:val="fr-FR"/>
        </w:rPr>
        <w:t xml:space="preserve"> que </w:t>
      </w:r>
      <w:r w:rsidR="003019FC">
        <w:rPr>
          <w:lang w:val="fr-FR"/>
        </w:rPr>
        <w:t xml:space="preserve">l’atteinte </w:t>
      </w:r>
      <w:r w:rsidRPr="001D0A76">
        <w:rPr>
          <w:lang w:val="fr-FR"/>
        </w:rPr>
        <w:t xml:space="preserve">des différents objectifs </w:t>
      </w:r>
      <w:r w:rsidR="003019FC">
        <w:rPr>
          <w:lang w:val="fr-FR"/>
        </w:rPr>
        <w:t xml:space="preserve">nécessite de fixer </w:t>
      </w:r>
      <w:r w:rsidRPr="001D0A76">
        <w:rPr>
          <w:lang w:val="fr-FR"/>
        </w:rPr>
        <w:t xml:space="preserve">les politiques à leur niveau le plus ambitieux et </w:t>
      </w:r>
      <w:r w:rsidR="003019FC">
        <w:rPr>
          <w:lang w:val="fr-FR"/>
        </w:rPr>
        <w:t xml:space="preserve">les maintenir </w:t>
      </w:r>
      <w:r w:rsidRPr="001D0A76">
        <w:rPr>
          <w:lang w:val="fr-FR"/>
        </w:rPr>
        <w:t>jusqu</w:t>
      </w:r>
      <w:r w:rsidR="003019FC">
        <w:rPr>
          <w:lang w:val="fr-FR"/>
        </w:rPr>
        <w:t>’en</w:t>
      </w:r>
      <w:r w:rsidRPr="001D0A76">
        <w:rPr>
          <w:lang w:val="fr-FR"/>
        </w:rPr>
        <w:t xml:space="preserve"> 2050. </w:t>
      </w:r>
      <w:r w:rsidR="00683D08">
        <w:rPr>
          <w:lang w:val="fr-FR"/>
        </w:rPr>
        <w:t>L</w:t>
      </w:r>
      <w:r w:rsidRPr="001D0A76">
        <w:rPr>
          <w:lang w:val="fr-FR"/>
        </w:rPr>
        <w:t xml:space="preserve">es programmes de subventions </w:t>
      </w:r>
      <w:r w:rsidR="00683D08">
        <w:rPr>
          <w:lang w:val="fr-FR"/>
        </w:rPr>
        <w:t>doivent être particulier être étendus au parc locatif privé</w:t>
      </w:r>
      <w:r w:rsidRPr="001D0A76">
        <w:rPr>
          <w:lang w:val="fr-FR"/>
        </w:rPr>
        <w:t xml:space="preserve">. </w:t>
      </w:r>
      <w:r w:rsidR="00721038">
        <w:rPr>
          <w:lang w:val="fr-FR"/>
        </w:rPr>
        <w:t>Un</w:t>
      </w:r>
      <w:r w:rsidR="00C612E0">
        <w:rPr>
          <w:lang w:val="fr-FR"/>
        </w:rPr>
        <w:t xml:space="preserve"> ciblage des aides inversement lié au revenu</w:t>
      </w:r>
      <w:r w:rsidR="00721038">
        <w:rPr>
          <w:lang w:val="fr-FR"/>
        </w:rPr>
        <w:t xml:space="preserve"> des ménages</w:t>
      </w:r>
      <w:r w:rsidR="00C612E0">
        <w:rPr>
          <w:lang w:val="fr-FR"/>
        </w:rPr>
        <w:t xml:space="preserve"> améliore</w:t>
      </w:r>
      <w:r w:rsidR="0034375A">
        <w:rPr>
          <w:lang w:val="fr-FR"/>
        </w:rPr>
        <w:t xml:space="preserve"> l’efficience des aides </w:t>
      </w:r>
      <w:r w:rsidRPr="001D0A76">
        <w:rPr>
          <w:lang w:val="fr-FR"/>
        </w:rPr>
        <w:t>tout en réduisant la précarité énergétique. L</w:t>
      </w:r>
      <w:r w:rsidR="00C612E0">
        <w:rPr>
          <w:lang w:val="fr-FR"/>
        </w:rPr>
        <w:t xml:space="preserve">’équilibre budgétaire entre </w:t>
      </w:r>
      <w:r w:rsidRPr="001D0A76">
        <w:rPr>
          <w:lang w:val="fr-FR"/>
        </w:rPr>
        <w:t xml:space="preserve">les recettes </w:t>
      </w:r>
      <w:r w:rsidR="0034375A">
        <w:rPr>
          <w:lang w:val="fr-FR"/>
        </w:rPr>
        <w:t xml:space="preserve">fiscales </w:t>
      </w:r>
      <w:r w:rsidRPr="001D0A76">
        <w:rPr>
          <w:lang w:val="fr-FR"/>
        </w:rPr>
        <w:t xml:space="preserve">de la taxe carbone </w:t>
      </w:r>
      <w:r w:rsidR="00C612E0">
        <w:rPr>
          <w:lang w:val="fr-FR"/>
        </w:rPr>
        <w:t xml:space="preserve">et </w:t>
      </w:r>
      <w:r w:rsidR="0034375A">
        <w:rPr>
          <w:lang w:val="fr-FR"/>
        </w:rPr>
        <w:t xml:space="preserve">le coût des </w:t>
      </w:r>
      <w:r w:rsidRPr="001D0A76">
        <w:rPr>
          <w:lang w:val="fr-FR"/>
        </w:rPr>
        <w:t xml:space="preserve">subventions </w:t>
      </w:r>
      <w:r w:rsidR="0034375A">
        <w:rPr>
          <w:lang w:val="fr-FR"/>
        </w:rPr>
        <w:t xml:space="preserve">publiques </w:t>
      </w:r>
      <w:r w:rsidR="00C612E0">
        <w:rPr>
          <w:lang w:val="fr-FR"/>
        </w:rPr>
        <w:t>est excédentaire à partir de</w:t>
      </w:r>
      <w:r w:rsidR="00C612E0" w:rsidRPr="001D0A76">
        <w:rPr>
          <w:lang w:val="fr-FR"/>
        </w:rPr>
        <w:t xml:space="preserve"> </w:t>
      </w:r>
      <w:r w:rsidRPr="001D0A76">
        <w:rPr>
          <w:lang w:val="fr-FR"/>
        </w:rPr>
        <w:t xml:space="preserve">2025. La taxe carbone </w:t>
      </w:r>
      <w:r w:rsidR="005A5273">
        <w:rPr>
          <w:lang w:val="fr-FR"/>
        </w:rPr>
        <w:t>s’avère être l’</w:t>
      </w:r>
      <w:r w:rsidRPr="001D0A76">
        <w:rPr>
          <w:lang w:val="fr-FR"/>
        </w:rPr>
        <w:t>instrument le plus efficace</w:t>
      </w:r>
      <w:r w:rsidR="005A5273">
        <w:rPr>
          <w:lang w:val="fr-FR"/>
        </w:rPr>
        <w:t xml:space="preserve"> en termes d’économies d’énergie</w:t>
      </w:r>
      <w:r w:rsidRPr="001D0A76">
        <w:rPr>
          <w:lang w:val="fr-FR"/>
        </w:rPr>
        <w:t>, mais aussi le plus régressif</w:t>
      </w:r>
      <w:r w:rsidR="005A5273">
        <w:rPr>
          <w:lang w:val="fr-FR"/>
        </w:rPr>
        <w:t xml:space="preserve"> </w:t>
      </w:r>
      <w:r w:rsidR="00514F64">
        <w:rPr>
          <w:lang w:val="fr-FR"/>
        </w:rPr>
        <w:t>en termes d’</w:t>
      </w:r>
      <w:r w:rsidR="005A5273">
        <w:rPr>
          <w:lang w:val="fr-FR"/>
        </w:rPr>
        <w:t>incidence sur les différentes classes de revenu</w:t>
      </w:r>
      <w:r w:rsidRPr="001D0A76">
        <w:rPr>
          <w:lang w:val="fr-FR"/>
        </w:rPr>
        <w:t>. Les subventions pe</w:t>
      </w:r>
      <w:r w:rsidR="00CB6A08">
        <w:rPr>
          <w:lang w:val="fr-FR"/>
        </w:rPr>
        <w:t xml:space="preserve">rmettent de réaliser des économies d’énergie à un </w:t>
      </w:r>
      <w:r w:rsidRPr="001D0A76">
        <w:rPr>
          <w:lang w:val="fr-FR"/>
        </w:rPr>
        <w:t xml:space="preserve">coût de 0,05 à 0,08 euro par kilowattheure </w:t>
      </w:r>
      <w:r w:rsidR="00CB6A08">
        <w:rPr>
          <w:lang w:val="fr-FR"/>
        </w:rPr>
        <w:t>cumulé actualisé</w:t>
      </w:r>
      <w:r w:rsidRPr="001D0A76">
        <w:rPr>
          <w:lang w:val="fr-FR"/>
        </w:rPr>
        <w:t xml:space="preserve">, avec un effet levier </w:t>
      </w:r>
      <w:r w:rsidR="00BC2436">
        <w:rPr>
          <w:lang w:val="fr-FR"/>
        </w:rPr>
        <w:t xml:space="preserve">sur les dépenses d’investissement </w:t>
      </w:r>
      <w:r w:rsidRPr="001D0A76">
        <w:rPr>
          <w:lang w:val="fr-FR"/>
        </w:rPr>
        <w:t xml:space="preserve">de 0,9 à 1,4, </w:t>
      </w:r>
      <w:r w:rsidR="00BC2436">
        <w:rPr>
          <w:lang w:val="fr-FR"/>
        </w:rPr>
        <w:t xml:space="preserve">soit </w:t>
      </w:r>
      <w:r w:rsidRPr="001D0A76">
        <w:rPr>
          <w:lang w:val="fr-FR"/>
        </w:rPr>
        <w:t xml:space="preserve">un ordre de grandeur cohérent avec celui </w:t>
      </w:r>
      <w:r w:rsidR="00BC2436">
        <w:rPr>
          <w:lang w:val="fr-FR"/>
        </w:rPr>
        <w:t>d’</w:t>
      </w:r>
      <w:r w:rsidRPr="001D0A76">
        <w:rPr>
          <w:lang w:val="fr-FR"/>
        </w:rPr>
        <w:t xml:space="preserve">autres subventions publiques </w:t>
      </w:r>
      <w:r w:rsidR="00BC2436">
        <w:rPr>
          <w:lang w:val="fr-FR"/>
        </w:rPr>
        <w:t>évaluées en France</w:t>
      </w:r>
      <w:r w:rsidR="00D9149E">
        <w:rPr>
          <w:lang w:val="fr-FR"/>
        </w:rPr>
        <w:t xml:space="preserve"> – par exemple le prêt à taux zéro (Gobillon et le Blanc, 2005)</w:t>
      </w:r>
      <w:r w:rsidR="00BC2436">
        <w:rPr>
          <w:lang w:val="fr-FR"/>
        </w:rPr>
        <w:t>. Le crédit d’</w:t>
      </w:r>
      <w:r w:rsidRPr="001D0A76">
        <w:rPr>
          <w:lang w:val="fr-FR"/>
        </w:rPr>
        <w:t xml:space="preserve">impôt est la subvention la plus efficace, mais </w:t>
      </w:r>
      <w:r w:rsidR="00BC2436">
        <w:rPr>
          <w:lang w:val="fr-FR"/>
        </w:rPr>
        <w:t xml:space="preserve">aussi </w:t>
      </w:r>
      <w:r w:rsidRPr="001D0A76">
        <w:rPr>
          <w:lang w:val="fr-FR"/>
        </w:rPr>
        <w:t xml:space="preserve">la moins efficiente. Le modèle reproduit fidèlement les </w:t>
      </w:r>
      <w:r w:rsidR="00261ABA">
        <w:rPr>
          <w:lang w:val="fr-FR"/>
        </w:rPr>
        <w:t xml:space="preserve">observations </w:t>
      </w:r>
      <w:r w:rsidRPr="001D0A76">
        <w:rPr>
          <w:lang w:val="fr-FR"/>
        </w:rPr>
        <w:t xml:space="preserve">récentes </w:t>
      </w:r>
      <w:r w:rsidR="00261ABA">
        <w:rPr>
          <w:lang w:val="fr-FR"/>
        </w:rPr>
        <w:t xml:space="preserve">de coût des politiques, </w:t>
      </w:r>
      <w:r w:rsidRPr="001D0A76">
        <w:rPr>
          <w:lang w:val="fr-FR"/>
        </w:rPr>
        <w:t xml:space="preserve">à </w:t>
      </w:r>
      <w:r w:rsidR="00261ABA">
        <w:rPr>
          <w:lang w:val="fr-FR"/>
        </w:rPr>
        <w:t>l’</w:t>
      </w:r>
      <w:r w:rsidRPr="001D0A76">
        <w:rPr>
          <w:lang w:val="fr-FR"/>
        </w:rPr>
        <w:t xml:space="preserve">exception </w:t>
      </w:r>
      <w:r w:rsidR="00261ABA">
        <w:rPr>
          <w:lang w:val="fr-FR"/>
        </w:rPr>
        <w:t>de l’éco-prêt</w:t>
      </w:r>
      <w:r w:rsidRPr="001D0A76">
        <w:rPr>
          <w:lang w:val="fr-FR"/>
        </w:rPr>
        <w:t xml:space="preserve"> à taux zéro, </w:t>
      </w:r>
      <w:r w:rsidR="009E0272">
        <w:rPr>
          <w:lang w:val="fr-FR"/>
        </w:rPr>
        <w:t xml:space="preserve">dont il </w:t>
      </w:r>
      <w:r w:rsidRPr="001D0A76">
        <w:rPr>
          <w:lang w:val="fr-FR"/>
        </w:rPr>
        <w:t xml:space="preserve">surestime </w:t>
      </w:r>
      <w:r w:rsidR="009E0272">
        <w:rPr>
          <w:lang w:val="fr-FR"/>
        </w:rPr>
        <w:t xml:space="preserve">le coût </w:t>
      </w:r>
      <w:r w:rsidRPr="001D0A76">
        <w:rPr>
          <w:lang w:val="fr-FR"/>
        </w:rPr>
        <w:t>d</w:t>
      </w:r>
      <w:r w:rsidR="009E0272">
        <w:rPr>
          <w:lang w:val="fr-FR"/>
        </w:rPr>
        <w:t>’</w:t>
      </w:r>
      <w:r w:rsidRPr="001D0A76">
        <w:rPr>
          <w:lang w:val="fr-FR"/>
        </w:rPr>
        <w:t xml:space="preserve">un ordre de grandeur. Les interactions entre les politiques sont </w:t>
      </w:r>
      <w:r w:rsidR="00013516">
        <w:rPr>
          <w:lang w:val="fr-FR"/>
        </w:rPr>
        <w:t xml:space="preserve">synergiques mais </w:t>
      </w:r>
      <w:r w:rsidR="00E42F42">
        <w:rPr>
          <w:lang w:val="fr-FR"/>
        </w:rPr>
        <w:t>modestes</w:t>
      </w:r>
      <w:r w:rsidRPr="001D0A76">
        <w:rPr>
          <w:lang w:val="fr-FR"/>
        </w:rPr>
        <w:t xml:space="preserve">, </w:t>
      </w:r>
      <w:r w:rsidR="00E42F42">
        <w:rPr>
          <w:lang w:val="fr-FR"/>
        </w:rPr>
        <w:t xml:space="preserve">induisant </w:t>
      </w:r>
      <w:r w:rsidR="00B56F5A">
        <w:rPr>
          <w:lang w:val="fr-FR"/>
        </w:rPr>
        <w:t>un surcroît d</w:t>
      </w:r>
      <w:r w:rsidR="00E42F42">
        <w:rPr>
          <w:lang w:val="fr-FR"/>
        </w:rPr>
        <w:t>’</w:t>
      </w:r>
      <w:r w:rsidRPr="001D0A76">
        <w:rPr>
          <w:lang w:val="fr-FR"/>
        </w:rPr>
        <w:t xml:space="preserve">efficacité </w:t>
      </w:r>
      <w:r w:rsidR="00E42F42">
        <w:rPr>
          <w:lang w:val="fr-FR"/>
        </w:rPr>
        <w:t xml:space="preserve">de l’ordre </w:t>
      </w:r>
      <w:r w:rsidR="00E42F42" w:rsidRPr="001D0A76">
        <w:rPr>
          <w:lang w:val="fr-FR"/>
        </w:rPr>
        <w:t>de 10 %</w:t>
      </w:r>
      <w:r w:rsidRPr="001D0A76">
        <w:rPr>
          <w:lang w:val="fr-FR"/>
        </w:rPr>
        <w:t>.</w:t>
      </w:r>
    </w:p>
    <w:p w14:paraId="18A76D66" w14:textId="488B656A" w:rsidR="000010DB" w:rsidRDefault="001D0A76" w:rsidP="001D0A76">
      <w:pPr>
        <w:rPr>
          <w:lang w:val="fr-FR"/>
        </w:rPr>
      </w:pPr>
      <w:r w:rsidRPr="001D0A76">
        <w:rPr>
          <w:lang w:val="fr-FR"/>
        </w:rPr>
        <w:t xml:space="preserve">Au-delà du cas spécifique de la France, </w:t>
      </w:r>
      <w:r w:rsidR="00E42F42">
        <w:rPr>
          <w:lang w:val="fr-FR"/>
        </w:rPr>
        <w:t>l’</w:t>
      </w:r>
      <w:r w:rsidRPr="001D0A76">
        <w:rPr>
          <w:lang w:val="fr-FR"/>
        </w:rPr>
        <w:t xml:space="preserve">exercice apporte un éclairage sur des questions économiques </w:t>
      </w:r>
      <w:r w:rsidR="00E42F42">
        <w:rPr>
          <w:lang w:val="fr-FR"/>
        </w:rPr>
        <w:t xml:space="preserve">plus </w:t>
      </w:r>
      <w:r w:rsidRPr="001D0A76">
        <w:rPr>
          <w:lang w:val="fr-FR"/>
        </w:rPr>
        <w:t xml:space="preserve">générales. </w:t>
      </w:r>
      <w:r w:rsidR="00810B0D">
        <w:rPr>
          <w:lang w:val="fr-FR"/>
        </w:rPr>
        <w:t xml:space="preserve">D’abord, les </w:t>
      </w:r>
      <w:r w:rsidR="00231FED">
        <w:rPr>
          <w:lang w:val="fr-FR"/>
        </w:rPr>
        <w:t xml:space="preserve">synergies </w:t>
      </w:r>
      <w:r w:rsidR="00AA1962">
        <w:rPr>
          <w:lang w:val="fr-FR"/>
        </w:rPr>
        <w:t>mis</w:t>
      </w:r>
      <w:r w:rsidR="00231FED">
        <w:rPr>
          <w:lang w:val="fr-FR"/>
        </w:rPr>
        <w:t>es</w:t>
      </w:r>
      <w:r w:rsidR="00AA1962">
        <w:rPr>
          <w:lang w:val="fr-FR"/>
        </w:rPr>
        <w:t xml:space="preserve"> en évidence </w:t>
      </w:r>
      <w:r w:rsidR="00810B0D">
        <w:rPr>
          <w:lang w:val="fr-FR"/>
        </w:rPr>
        <w:t xml:space="preserve">entre efficience </w:t>
      </w:r>
      <w:r w:rsidRPr="001D0A76">
        <w:rPr>
          <w:lang w:val="fr-FR"/>
        </w:rPr>
        <w:t xml:space="preserve">économique et réduction de la </w:t>
      </w:r>
      <w:r w:rsidR="00810B0D">
        <w:rPr>
          <w:lang w:val="fr-FR"/>
        </w:rPr>
        <w:t xml:space="preserve">précarité </w:t>
      </w:r>
      <w:r w:rsidRPr="001D0A76">
        <w:rPr>
          <w:lang w:val="fr-FR"/>
        </w:rPr>
        <w:t>énergétique</w:t>
      </w:r>
      <w:r w:rsidR="00A26245">
        <w:rPr>
          <w:lang w:val="fr-FR"/>
        </w:rPr>
        <w:t xml:space="preserve"> sont </w:t>
      </w:r>
      <w:r w:rsidRPr="001D0A76">
        <w:rPr>
          <w:lang w:val="fr-FR"/>
        </w:rPr>
        <w:t>déterminé</w:t>
      </w:r>
      <w:r w:rsidR="00A26245">
        <w:rPr>
          <w:lang w:val="fr-FR"/>
        </w:rPr>
        <w:t>es</w:t>
      </w:r>
      <w:r w:rsidRPr="001D0A76">
        <w:rPr>
          <w:lang w:val="fr-FR"/>
        </w:rPr>
        <w:t xml:space="preserve"> par la corrélation </w:t>
      </w:r>
      <w:r w:rsidR="00D914E5">
        <w:rPr>
          <w:lang w:val="fr-FR"/>
        </w:rPr>
        <w:t>qui s’</w:t>
      </w:r>
      <w:r w:rsidR="00A26245">
        <w:rPr>
          <w:lang w:val="fr-FR"/>
        </w:rPr>
        <w:t xml:space="preserve">observe </w:t>
      </w:r>
      <w:r w:rsidRPr="001D0A76">
        <w:rPr>
          <w:lang w:val="fr-FR"/>
        </w:rPr>
        <w:t xml:space="preserve">dans les données entre le revenu des ménages et </w:t>
      </w:r>
      <w:r w:rsidR="00A26245">
        <w:rPr>
          <w:lang w:val="fr-FR"/>
        </w:rPr>
        <w:t>l’</w:t>
      </w:r>
      <w:r w:rsidRPr="001D0A76">
        <w:rPr>
          <w:lang w:val="fr-FR"/>
        </w:rPr>
        <w:t>efficacité des logements qu</w:t>
      </w:r>
      <w:r w:rsidR="00A26245">
        <w:rPr>
          <w:lang w:val="fr-FR"/>
        </w:rPr>
        <w:t>’</w:t>
      </w:r>
      <w:r w:rsidRPr="001D0A76">
        <w:rPr>
          <w:lang w:val="fr-FR"/>
        </w:rPr>
        <w:t xml:space="preserve">ils </w:t>
      </w:r>
      <w:r w:rsidR="00A26245">
        <w:rPr>
          <w:lang w:val="fr-FR"/>
        </w:rPr>
        <w:t xml:space="preserve">occupent – une </w:t>
      </w:r>
      <w:r w:rsidRPr="001D0A76">
        <w:rPr>
          <w:lang w:val="fr-FR"/>
        </w:rPr>
        <w:t xml:space="preserve">tendance </w:t>
      </w:r>
      <w:r w:rsidR="00A26245">
        <w:rPr>
          <w:lang w:val="fr-FR"/>
        </w:rPr>
        <w:t xml:space="preserve">a priori </w:t>
      </w:r>
      <w:r w:rsidRPr="001D0A76">
        <w:rPr>
          <w:lang w:val="fr-FR"/>
        </w:rPr>
        <w:t xml:space="preserve">assez générale dans les États membres de </w:t>
      </w:r>
      <w:r w:rsidR="00A26245">
        <w:rPr>
          <w:lang w:val="fr-FR"/>
        </w:rPr>
        <w:t>l’</w:t>
      </w:r>
      <w:r w:rsidRPr="001D0A76">
        <w:rPr>
          <w:lang w:val="fr-FR"/>
        </w:rPr>
        <w:t xml:space="preserve">UE. </w:t>
      </w:r>
      <w:r w:rsidR="00A26245">
        <w:rPr>
          <w:lang w:val="fr-FR"/>
        </w:rPr>
        <w:t>Ensuite</w:t>
      </w:r>
      <w:r w:rsidRPr="001D0A76">
        <w:rPr>
          <w:lang w:val="fr-FR"/>
        </w:rPr>
        <w:t xml:space="preserve">, </w:t>
      </w:r>
      <w:r w:rsidR="00A26245">
        <w:rPr>
          <w:lang w:val="fr-FR"/>
        </w:rPr>
        <w:t>l’écart entre les effectifs d’</w:t>
      </w:r>
      <w:r w:rsidR="00CA3302">
        <w:rPr>
          <w:lang w:val="fr-FR"/>
        </w:rPr>
        <w:t>EPTZ</w:t>
      </w:r>
      <w:r w:rsidR="00A26245">
        <w:rPr>
          <w:lang w:val="fr-FR"/>
        </w:rPr>
        <w:t xml:space="preserve"> simulé</w:t>
      </w:r>
      <w:r w:rsidRPr="001D0A76">
        <w:rPr>
          <w:lang w:val="fr-FR"/>
        </w:rPr>
        <w:t xml:space="preserve">s et </w:t>
      </w:r>
      <w:r w:rsidR="00A26245">
        <w:rPr>
          <w:lang w:val="fr-FR"/>
        </w:rPr>
        <w:t>observé</w:t>
      </w:r>
      <w:r w:rsidRPr="001D0A76">
        <w:rPr>
          <w:lang w:val="fr-FR"/>
        </w:rPr>
        <w:t xml:space="preserve">s </w:t>
      </w:r>
      <w:r w:rsidR="00A26245">
        <w:rPr>
          <w:lang w:val="fr-FR"/>
        </w:rPr>
        <w:t xml:space="preserve">suggère que des barrières </w:t>
      </w:r>
      <w:r w:rsidR="00A27DF6">
        <w:rPr>
          <w:lang w:val="fr-FR"/>
        </w:rPr>
        <w:t>non prises en compte réduisent considérablement</w:t>
      </w:r>
      <w:r w:rsidR="00EC0DF4">
        <w:rPr>
          <w:lang w:val="fr-FR"/>
        </w:rPr>
        <w:t xml:space="preserve"> l’efficacité de ce</w:t>
      </w:r>
      <w:r w:rsidR="004A6A0A">
        <w:rPr>
          <w:lang w:val="fr-FR"/>
        </w:rPr>
        <w:t xml:space="preserve"> dispositif</w:t>
      </w:r>
      <w:r w:rsidRPr="001D0A76">
        <w:rPr>
          <w:lang w:val="fr-FR"/>
        </w:rPr>
        <w:t xml:space="preserve">. </w:t>
      </w:r>
      <w:r w:rsidR="00A26245">
        <w:rPr>
          <w:lang w:val="fr-FR"/>
        </w:rPr>
        <w:t>Dans la mesure où l’</w:t>
      </w:r>
      <w:r w:rsidRPr="001D0A76">
        <w:rPr>
          <w:lang w:val="fr-FR"/>
        </w:rPr>
        <w:t xml:space="preserve">instrument </w:t>
      </w:r>
      <w:r w:rsidR="00A26245">
        <w:rPr>
          <w:lang w:val="fr-FR"/>
        </w:rPr>
        <w:t xml:space="preserve">possède des analogues </w:t>
      </w:r>
      <w:r w:rsidRPr="001D0A76">
        <w:rPr>
          <w:lang w:val="fr-FR"/>
        </w:rPr>
        <w:t xml:space="preserve">dans d'autres </w:t>
      </w:r>
      <w:r w:rsidR="00A26245">
        <w:rPr>
          <w:lang w:val="fr-FR"/>
        </w:rPr>
        <w:t>pays</w:t>
      </w:r>
      <w:r w:rsidRPr="001D0A76">
        <w:rPr>
          <w:lang w:val="fr-FR"/>
        </w:rPr>
        <w:t xml:space="preserve">, notamment en Allemagne, </w:t>
      </w:r>
      <w:r w:rsidR="00A26245">
        <w:rPr>
          <w:lang w:val="fr-FR"/>
        </w:rPr>
        <w:t>cette réflexion nous invite à</w:t>
      </w:r>
      <w:r w:rsidRPr="001D0A76">
        <w:rPr>
          <w:lang w:val="fr-FR"/>
        </w:rPr>
        <w:t xml:space="preserve"> </w:t>
      </w:r>
      <w:r w:rsidR="00A26245">
        <w:rPr>
          <w:lang w:val="fr-FR"/>
        </w:rPr>
        <w:t xml:space="preserve">envisager des </w:t>
      </w:r>
      <w:r w:rsidRPr="001D0A76">
        <w:rPr>
          <w:lang w:val="fr-FR"/>
        </w:rPr>
        <w:t xml:space="preserve">travaux </w:t>
      </w:r>
      <w:r w:rsidR="00A26245">
        <w:rPr>
          <w:lang w:val="fr-FR"/>
        </w:rPr>
        <w:t>de microéconomie appliquée</w:t>
      </w:r>
      <w:r w:rsidRPr="001D0A76">
        <w:rPr>
          <w:lang w:val="fr-FR"/>
        </w:rPr>
        <w:t xml:space="preserve"> visant à identifier ces </w:t>
      </w:r>
      <w:r w:rsidR="00A26245">
        <w:rPr>
          <w:lang w:val="fr-FR"/>
        </w:rPr>
        <w:t>barrières</w:t>
      </w:r>
      <w:r w:rsidRPr="001D0A76">
        <w:rPr>
          <w:lang w:val="fr-FR"/>
        </w:rPr>
        <w:t>.</w:t>
      </w:r>
      <w:r w:rsidR="00332228">
        <w:rPr>
          <w:lang w:val="fr-FR"/>
        </w:rPr>
        <w:t xml:space="preserve"> </w:t>
      </w:r>
      <w:r w:rsidR="004264C3">
        <w:rPr>
          <w:lang w:val="fr-FR"/>
        </w:rPr>
        <w:t>De plus</w:t>
      </w:r>
      <w:r w:rsidR="00332228">
        <w:rPr>
          <w:lang w:val="fr-FR"/>
        </w:rPr>
        <w:t xml:space="preserve">, </w:t>
      </w:r>
      <w:r w:rsidR="00EC0DF4">
        <w:rPr>
          <w:lang w:val="fr-FR"/>
        </w:rPr>
        <w:t>l’exercice</w:t>
      </w:r>
      <w:r w:rsidR="00332228">
        <w:rPr>
          <w:lang w:val="fr-FR"/>
        </w:rPr>
        <w:t xml:space="preserve"> montre que, dans le cadre d’investissements présentant une marge intensive – ici l’ampleur d’une rénovation </w:t>
      </w:r>
      <w:r w:rsidR="006C307B">
        <w:rPr>
          <w:lang w:val="fr-FR"/>
        </w:rPr>
        <w:t>énergétique – l’effet levier peut être supérieur à 1 malgré une faible additionnalité du nombre de participants</w:t>
      </w:r>
      <w:r w:rsidR="00C406E4">
        <w:rPr>
          <w:lang w:val="fr-FR"/>
        </w:rPr>
        <w:t xml:space="preserve"> – confirmée </w:t>
      </w:r>
      <w:r w:rsidR="00607F87">
        <w:rPr>
          <w:lang w:val="fr-FR"/>
        </w:rPr>
        <w:t>par ailleurs pa</w:t>
      </w:r>
      <w:r w:rsidR="00103762">
        <w:rPr>
          <w:lang w:val="fr-FR"/>
        </w:rPr>
        <w:t>r d’autres études (Nauleau, 201</w:t>
      </w:r>
      <w:r w:rsidR="007D33CA">
        <w:rPr>
          <w:lang w:val="fr-FR"/>
        </w:rPr>
        <w:t>4</w:t>
      </w:r>
      <w:r w:rsidR="00607F87">
        <w:rPr>
          <w:lang w:val="fr-FR"/>
        </w:rPr>
        <w:t xml:space="preserve"> ; </w:t>
      </w:r>
      <w:r w:rsidR="003F2401">
        <w:rPr>
          <w:lang w:val="fr-FR"/>
        </w:rPr>
        <w:t xml:space="preserve">Charlier et </w:t>
      </w:r>
      <w:proofErr w:type="gramStart"/>
      <w:r w:rsidR="003F2401">
        <w:rPr>
          <w:lang w:val="fr-FR"/>
        </w:rPr>
        <w:t>al.,</w:t>
      </w:r>
      <w:proofErr w:type="gramEnd"/>
      <w:r w:rsidR="003F2401">
        <w:rPr>
          <w:lang w:val="fr-FR"/>
        </w:rPr>
        <w:t xml:space="preserve"> 2018)</w:t>
      </w:r>
      <w:r w:rsidR="000D41AD">
        <w:rPr>
          <w:lang w:val="fr-FR"/>
        </w:rPr>
        <w:t xml:space="preserve">. </w:t>
      </w:r>
      <w:r w:rsidR="00D61227">
        <w:rPr>
          <w:lang w:val="fr-FR"/>
        </w:rPr>
        <w:t>Ce résultat rappelle que</w:t>
      </w:r>
      <w:r w:rsidR="007A13F5">
        <w:rPr>
          <w:lang w:val="fr-FR"/>
        </w:rPr>
        <w:t xml:space="preserve"> </w:t>
      </w:r>
      <w:r w:rsidR="00D61227">
        <w:rPr>
          <w:lang w:val="fr-FR"/>
        </w:rPr>
        <w:t>la faible additionnalité des aides</w:t>
      </w:r>
      <w:r w:rsidR="00443C8A">
        <w:rPr>
          <w:lang w:val="fr-FR"/>
        </w:rPr>
        <w:t xml:space="preserve"> (ou</w:t>
      </w:r>
      <w:r w:rsidR="00336033">
        <w:rPr>
          <w:lang w:val="fr-FR"/>
        </w:rPr>
        <w:t xml:space="preserve"> </w:t>
      </w:r>
      <w:r w:rsidR="00D61227">
        <w:rPr>
          <w:lang w:val="fr-FR"/>
        </w:rPr>
        <w:t>participation infra-marginale</w:t>
      </w:r>
      <w:r w:rsidR="00443C8A">
        <w:rPr>
          <w:lang w:val="fr-FR"/>
        </w:rPr>
        <w:t xml:space="preserve"> en termes plus techniques) </w:t>
      </w:r>
      <w:r w:rsidR="007A13F5">
        <w:rPr>
          <w:lang w:val="fr-FR"/>
        </w:rPr>
        <w:t xml:space="preserve">ne doit pas être systématiquement </w:t>
      </w:r>
      <w:r w:rsidR="00D61227">
        <w:rPr>
          <w:lang w:val="fr-FR"/>
        </w:rPr>
        <w:t>stigmatisée comme un « effet d’aubaine »</w:t>
      </w:r>
      <w:r w:rsidR="000D3034">
        <w:rPr>
          <w:lang w:val="fr-FR"/>
        </w:rPr>
        <w:t>.</w:t>
      </w:r>
      <w:r w:rsidR="005C6228">
        <w:rPr>
          <w:lang w:val="fr-FR"/>
        </w:rPr>
        <w:t xml:space="preserve"> Enfin, en termes de modélisation, l’exercice </w:t>
      </w:r>
      <w:r w:rsidR="00276A7D">
        <w:rPr>
          <w:lang w:val="fr-FR"/>
        </w:rPr>
        <w:t xml:space="preserve">propose une méthode originale pour quantifier l’effet propre d’un instrument au sein d’une </w:t>
      </w:r>
      <w:r w:rsidR="0006498E">
        <w:rPr>
          <w:lang w:val="fr-FR"/>
        </w:rPr>
        <w:t>panoplie de politiques</w:t>
      </w:r>
      <w:r w:rsidR="00276A7D">
        <w:rPr>
          <w:lang w:val="fr-FR"/>
        </w:rPr>
        <w:t xml:space="preserve">, en explorant </w:t>
      </w:r>
      <w:r w:rsidR="0006498E">
        <w:rPr>
          <w:lang w:val="fr-FR"/>
        </w:rPr>
        <w:t>l’ensemble des combinaisons contrefactuelles possibles.</w:t>
      </w:r>
      <w:r w:rsidR="005C6CDC">
        <w:rPr>
          <w:lang w:val="fr-FR"/>
        </w:rPr>
        <w:t xml:space="preserve"> </w:t>
      </w:r>
      <w:r w:rsidR="00715C67">
        <w:rPr>
          <w:lang w:val="fr-FR"/>
        </w:rPr>
        <w:t xml:space="preserve">La suite de l’article est </w:t>
      </w:r>
      <w:r w:rsidRPr="001D0A76">
        <w:rPr>
          <w:lang w:val="fr-FR"/>
        </w:rPr>
        <w:t>organisé</w:t>
      </w:r>
      <w:r w:rsidR="00715C67">
        <w:rPr>
          <w:lang w:val="fr-FR"/>
        </w:rPr>
        <w:t>e de la façon suivante</w:t>
      </w:r>
      <w:r w:rsidRPr="001D0A76">
        <w:rPr>
          <w:lang w:val="fr-FR"/>
        </w:rPr>
        <w:t xml:space="preserve">. La section 2 donne un aperçu du modèle Res-IRF, en mettant </w:t>
      </w:r>
      <w:r w:rsidR="00715C67">
        <w:rPr>
          <w:lang w:val="fr-FR"/>
        </w:rPr>
        <w:t>en évidence l</w:t>
      </w:r>
      <w:r w:rsidRPr="001D0A76">
        <w:rPr>
          <w:lang w:val="fr-FR"/>
        </w:rPr>
        <w:t xml:space="preserve">es derniers développements. La </w:t>
      </w:r>
      <w:r w:rsidR="00715C67">
        <w:rPr>
          <w:lang w:val="fr-FR"/>
        </w:rPr>
        <w:t>section 3 propose une méthode d’</w:t>
      </w:r>
      <w:r w:rsidRPr="001D0A76">
        <w:rPr>
          <w:lang w:val="fr-FR"/>
        </w:rPr>
        <w:t xml:space="preserve">évaluation et détaille </w:t>
      </w:r>
      <w:r w:rsidR="00715C67">
        <w:rPr>
          <w:lang w:val="fr-FR"/>
        </w:rPr>
        <w:t>le paramétrage des politiques</w:t>
      </w:r>
      <w:r w:rsidRPr="001D0A76">
        <w:rPr>
          <w:lang w:val="fr-FR"/>
        </w:rPr>
        <w:t xml:space="preserve">. La section 4 présente les résultats. La section 5 </w:t>
      </w:r>
      <w:r w:rsidR="00CE3B16">
        <w:rPr>
          <w:lang w:val="fr-FR"/>
        </w:rPr>
        <w:t xml:space="preserve">discute les implications de politique publique et </w:t>
      </w:r>
      <w:r w:rsidRPr="001D0A76">
        <w:rPr>
          <w:lang w:val="fr-FR"/>
        </w:rPr>
        <w:t>conclut.</w:t>
      </w:r>
    </w:p>
    <w:p w14:paraId="4567E507" w14:textId="77777777" w:rsidR="0073790C" w:rsidRPr="001D0A76" w:rsidRDefault="0073790C" w:rsidP="001D0A76">
      <w:pPr>
        <w:rPr>
          <w:lang w:val="fr-FR"/>
        </w:rPr>
      </w:pPr>
    </w:p>
    <w:p w14:paraId="6A1CB380" w14:textId="51ED03BE" w:rsidR="000B0D26" w:rsidRPr="001D0A76" w:rsidRDefault="001D0A76" w:rsidP="000B0D26">
      <w:pPr>
        <w:pStyle w:val="Titre1"/>
        <w:rPr>
          <w:lang w:val="fr-FR"/>
        </w:rPr>
      </w:pPr>
      <w:r w:rsidRPr="001D0A76">
        <w:rPr>
          <w:lang w:val="fr-FR"/>
        </w:rPr>
        <w:lastRenderedPageBreak/>
        <w:t>Le modèle</w:t>
      </w:r>
      <w:r w:rsidR="00A34735" w:rsidRPr="001D0A76">
        <w:rPr>
          <w:lang w:val="fr-FR"/>
        </w:rPr>
        <w:t xml:space="preserve"> Res-IRF </w:t>
      </w:r>
      <w:r w:rsidR="0091057A" w:rsidRPr="001D0A76">
        <w:rPr>
          <w:lang w:val="fr-FR"/>
        </w:rPr>
        <w:t xml:space="preserve">3.0 </w:t>
      </w:r>
      <w:r w:rsidRPr="001D0A76">
        <w:rPr>
          <w:lang w:val="fr-FR"/>
        </w:rPr>
        <w:t>e</w:t>
      </w:r>
      <w:r>
        <w:rPr>
          <w:lang w:val="fr-FR"/>
        </w:rPr>
        <w:t>n bref</w:t>
      </w:r>
    </w:p>
    <w:p w14:paraId="5527A7E2" w14:textId="194620E6" w:rsidR="001D0A76" w:rsidRPr="001D0A76" w:rsidRDefault="00865FCE" w:rsidP="00754187">
      <w:pPr>
        <w:rPr>
          <w:lang w:val="fr-FR"/>
        </w:rPr>
      </w:pPr>
      <w:r>
        <w:rPr>
          <w:lang w:val="fr-FR"/>
        </w:rPr>
        <w:t xml:space="preserve">Le modèle </w:t>
      </w:r>
      <w:r w:rsidR="001D0A76" w:rsidRPr="001D0A76">
        <w:rPr>
          <w:lang w:val="fr-FR"/>
        </w:rPr>
        <w:t xml:space="preserve">Res-IRF </w:t>
      </w:r>
      <w:r>
        <w:rPr>
          <w:lang w:val="fr-FR"/>
        </w:rPr>
        <w:t xml:space="preserve">simule la </w:t>
      </w:r>
      <w:r w:rsidR="001D0A76" w:rsidRPr="001D0A76">
        <w:rPr>
          <w:lang w:val="fr-FR"/>
        </w:rPr>
        <w:t xml:space="preserve">demande </w:t>
      </w:r>
      <w:r>
        <w:rPr>
          <w:lang w:val="fr-FR"/>
        </w:rPr>
        <w:t xml:space="preserve">d’énergie pour le </w:t>
      </w:r>
      <w:r w:rsidR="001D0A76" w:rsidRPr="001D0A76">
        <w:rPr>
          <w:lang w:val="fr-FR"/>
        </w:rPr>
        <w:t xml:space="preserve">chauffage </w:t>
      </w:r>
      <w:r>
        <w:rPr>
          <w:lang w:val="fr-FR"/>
        </w:rPr>
        <w:t>dans le secteur résidentiel en France</w:t>
      </w:r>
      <w:r w:rsidR="001D0A76" w:rsidRPr="001D0A76">
        <w:rPr>
          <w:lang w:val="fr-FR"/>
        </w:rPr>
        <w:t xml:space="preserve">. </w:t>
      </w:r>
      <w:r w:rsidR="00582CAC">
        <w:rPr>
          <w:lang w:val="fr-FR"/>
        </w:rPr>
        <w:t>Il</w:t>
      </w:r>
      <w:r w:rsidR="00AB2588">
        <w:rPr>
          <w:lang w:val="fr-FR"/>
        </w:rPr>
        <w:t xml:space="preserve"> combine une </w:t>
      </w:r>
      <w:r w:rsidR="001D0A76" w:rsidRPr="001D0A76">
        <w:rPr>
          <w:lang w:val="fr-FR"/>
        </w:rPr>
        <w:t xml:space="preserve">description détaillée de la performance énergétique </w:t>
      </w:r>
      <w:r w:rsidR="00AB2588">
        <w:rPr>
          <w:lang w:val="fr-FR"/>
        </w:rPr>
        <w:t>des logements et des caractéristiques socio-économiques des ménages qui les occupent.</w:t>
      </w:r>
      <w:r w:rsidR="001D0A76" w:rsidRPr="001D0A76">
        <w:rPr>
          <w:lang w:val="fr-FR"/>
        </w:rPr>
        <w:t xml:space="preserve"> </w:t>
      </w:r>
      <w:r w:rsidR="007725C7">
        <w:rPr>
          <w:lang w:val="fr-FR"/>
        </w:rPr>
        <w:t>La dernière version du modèle (</w:t>
      </w:r>
      <w:r w:rsidR="001D0A76" w:rsidRPr="001D0A76">
        <w:rPr>
          <w:lang w:val="fr-FR"/>
        </w:rPr>
        <w:t>3.0</w:t>
      </w:r>
      <w:r w:rsidR="007725C7">
        <w:rPr>
          <w:lang w:val="fr-FR"/>
        </w:rPr>
        <w:t xml:space="preserve">) intègre </w:t>
      </w:r>
      <w:r w:rsidR="001D0A76" w:rsidRPr="001D0A76">
        <w:rPr>
          <w:lang w:val="fr-FR"/>
        </w:rPr>
        <w:t xml:space="preserve">une </w:t>
      </w:r>
      <w:r w:rsidR="007725C7">
        <w:rPr>
          <w:lang w:val="fr-FR"/>
        </w:rPr>
        <w:t xml:space="preserve">segmentation </w:t>
      </w:r>
      <w:r w:rsidR="001D0A76" w:rsidRPr="001D0A76">
        <w:rPr>
          <w:lang w:val="fr-FR"/>
        </w:rPr>
        <w:t xml:space="preserve">des ménages par </w:t>
      </w:r>
      <w:r w:rsidR="004B41CE">
        <w:rPr>
          <w:lang w:val="fr-FR"/>
        </w:rPr>
        <w:t xml:space="preserve">niveau </w:t>
      </w:r>
      <w:r w:rsidR="001D0A76" w:rsidRPr="001D0A76">
        <w:rPr>
          <w:lang w:val="fr-FR"/>
        </w:rPr>
        <w:t>de revenu.</w:t>
      </w:r>
    </w:p>
    <w:p w14:paraId="4728D0EC" w14:textId="79CD696E" w:rsidR="005750AF" w:rsidRPr="001D0A76" w:rsidRDefault="005750AF" w:rsidP="001D0A76">
      <w:pPr>
        <w:pStyle w:val="Titre2"/>
        <w:rPr>
          <w:lang w:val="fr-FR"/>
        </w:rPr>
      </w:pPr>
      <w:r w:rsidRPr="001D0A76">
        <w:rPr>
          <w:lang w:val="fr-FR"/>
        </w:rPr>
        <w:t>Structure</w:t>
      </w:r>
      <w:r w:rsidR="00F92E3C" w:rsidRPr="001D0A76">
        <w:rPr>
          <w:lang w:val="fr-FR"/>
        </w:rPr>
        <w:t xml:space="preserve"> </w:t>
      </w:r>
      <w:r w:rsidR="001D0A76">
        <w:rPr>
          <w:lang w:val="fr-FR"/>
        </w:rPr>
        <w:t>et données</w:t>
      </w:r>
    </w:p>
    <w:p w14:paraId="47E0C782" w14:textId="3DC50367" w:rsidR="00CB2568" w:rsidRPr="00CB2568" w:rsidRDefault="00CB2568" w:rsidP="00CB2568">
      <w:pPr>
        <w:rPr>
          <w:lang w:val="fr-FR"/>
        </w:rPr>
      </w:pPr>
      <w:r w:rsidRPr="00CB2568">
        <w:rPr>
          <w:lang w:val="fr-FR"/>
        </w:rPr>
        <w:t xml:space="preserve">Le modèle est décrit en détail dans Giraudet et </w:t>
      </w:r>
      <w:r w:rsidR="0086144C">
        <w:rPr>
          <w:lang w:val="fr-FR"/>
        </w:rPr>
        <w:t>al.</w:t>
      </w:r>
      <w:r w:rsidRPr="00CB2568">
        <w:rPr>
          <w:lang w:val="fr-FR"/>
        </w:rPr>
        <w:t xml:space="preserve"> (2012) et Branger et al</w:t>
      </w:r>
      <w:r w:rsidR="00E43C81">
        <w:rPr>
          <w:lang w:val="fr-FR"/>
        </w:rPr>
        <w:t>.</w:t>
      </w:r>
      <w:r w:rsidRPr="00CB2568">
        <w:rPr>
          <w:lang w:val="fr-FR"/>
        </w:rPr>
        <w:t xml:space="preserve"> (2015). La section ci-dessous donne un aperçu des processus clés et détaille les développements qui n'ont pas été inclus dans les références déjà publiées.</w:t>
      </w:r>
    </w:p>
    <w:p w14:paraId="1552B127" w14:textId="6003A9CA" w:rsidR="00CB2568" w:rsidRPr="00CB2568" w:rsidRDefault="00CB2568" w:rsidP="00CB2568">
      <w:pPr>
        <w:rPr>
          <w:lang w:val="fr-FR"/>
        </w:rPr>
      </w:pPr>
      <w:r w:rsidRPr="00CB2568">
        <w:rPr>
          <w:lang w:val="fr-FR"/>
        </w:rPr>
        <w:t xml:space="preserve">Le parc de logements est paramétré </w:t>
      </w:r>
      <w:r w:rsidR="00E43C81">
        <w:rPr>
          <w:lang w:val="fr-FR"/>
        </w:rPr>
        <w:t>à partir des données de</w:t>
      </w:r>
      <w:r w:rsidRPr="00CB2568">
        <w:rPr>
          <w:lang w:val="fr-FR"/>
        </w:rPr>
        <w:t xml:space="preserve"> </w:t>
      </w:r>
      <w:r w:rsidR="00E43C81">
        <w:rPr>
          <w:lang w:val="fr-FR"/>
        </w:rPr>
        <w:t>l’</w:t>
      </w:r>
      <w:r w:rsidRPr="00CB2568">
        <w:rPr>
          <w:lang w:val="fr-FR"/>
        </w:rPr>
        <w:t>enquête Phébus</w:t>
      </w:r>
      <w:r w:rsidR="00583CE4">
        <w:rPr>
          <w:lang w:val="fr-FR"/>
        </w:rPr>
        <w:t xml:space="preserve">, qui croise les données </w:t>
      </w:r>
      <w:r w:rsidRPr="00CB2568">
        <w:rPr>
          <w:lang w:val="fr-FR"/>
        </w:rPr>
        <w:t xml:space="preserve">socio-économiques des ménages </w:t>
      </w:r>
      <w:r w:rsidR="00583CE4">
        <w:rPr>
          <w:lang w:val="fr-FR"/>
        </w:rPr>
        <w:t>avec l’efficacité</w:t>
      </w:r>
      <w:r w:rsidRPr="00CB2568">
        <w:rPr>
          <w:lang w:val="fr-FR"/>
        </w:rPr>
        <w:t xml:space="preserve"> énergétique de</w:t>
      </w:r>
      <w:r w:rsidR="00BE61DA">
        <w:rPr>
          <w:lang w:val="fr-FR"/>
        </w:rPr>
        <w:t xml:space="preserve"> leur</w:t>
      </w:r>
      <w:r w:rsidRPr="00CB2568">
        <w:rPr>
          <w:lang w:val="fr-FR"/>
        </w:rPr>
        <w:t xml:space="preserve"> logement. Le</w:t>
      </w:r>
      <w:r w:rsidR="00583CE4">
        <w:rPr>
          <w:lang w:val="fr-FR"/>
        </w:rPr>
        <w:t xml:space="preserve"> périmètre du modèle couvre les </w:t>
      </w:r>
      <w:r w:rsidRPr="00CB2568">
        <w:rPr>
          <w:lang w:val="fr-FR"/>
        </w:rPr>
        <w:t xml:space="preserve">résidences principales en France métropolitaine, </w:t>
      </w:r>
      <w:r w:rsidR="00583CE4">
        <w:rPr>
          <w:lang w:val="fr-FR"/>
        </w:rPr>
        <w:t xml:space="preserve">soit </w:t>
      </w:r>
      <w:r w:rsidRPr="00CB2568">
        <w:rPr>
          <w:lang w:val="fr-FR"/>
        </w:rPr>
        <w:t xml:space="preserve">23,9 millions de logements. </w:t>
      </w:r>
      <w:r w:rsidR="00CD0AE3">
        <w:rPr>
          <w:lang w:val="fr-FR"/>
        </w:rPr>
        <w:t>C</w:t>
      </w:r>
      <w:r w:rsidRPr="00CB2568">
        <w:rPr>
          <w:lang w:val="fr-FR"/>
        </w:rPr>
        <w:t xml:space="preserve">e parc est segmenté en 1 080 catégories, réparties </w:t>
      </w:r>
      <w:r w:rsidR="00CD0AE3">
        <w:rPr>
          <w:lang w:val="fr-FR"/>
        </w:rPr>
        <w:t>de la façon suivante</w:t>
      </w:r>
      <w:r w:rsidRPr="00CB2568">
        <w:rPr>
          <w:lang w:val="fr-FR"/>
        </w:rPr>
        <w:t xml:space="preserve"> :</w:t>
      </w:r>
    </w:p>
    <w:p w14:paraId="2062E05D" w14:textId="768A8F98" w:rsidR="00CB2568" w:rsidRPr="00CB2568" w:rsidRDefault="00CB2568" w:rsidP="00CB2568">
      <w:pPr>
        <w:pStyle w:val="Paragraphedeliste"/>
        <w:numPr>
          <w:ilvl w:val="0"/>
          <w:numId w:val="3"/>
        </w:numPr>
        <w:rPr>
          <w:lang w:val="fr-FR"/>
        </w:rPr>
      </w:pPr>
      <w:r w:rsidRPr="00CB2568">
        <w:rPr>
          <w:lang w:val="fr-FR"/>
        </w:rPr>
        <w:t xml:space="preserve">Neuf catégories de performance énergétique, correspondant aux </w:t>
      </w:r>
      <w:r w:rsidR="009D07F6">
        <w:rPr>
          <w:lang w:val="fr-FR"/>
        </w:rPr>
        <w:t>étiquettes</w:t>
      </w:r>
      <w:r w:rsidRPr="00CB2568">
        <w:rPr>
          <w:lang w:val="fr-FR"/>
        </w:rPr>
        <w:t xml:space="preserve"> A à G du </w:t>
      </w:r>
      <w:r w:rsidR="009D07F6">
        <w:rPr>
          <w:lang w:val="fr-FR"/>
        </w:rPr>
        <w:t xml:space="preserve">diagnostic </w:t>
      </w:r>
      <w:r w:rsidRPr="00CB2568">
        <w:rPr>
          <w:lang w:val="fr-FR"/>
        </w:rPr>
        <w:t>de performance énergétique (</w:t>
      </w:r>
      <w:r w:rsidR="00CA3302">
        <w:rPr>
          <w:lang w:val="fr-FR"/>
        </w:rPr>
        <w:t>DPE</w:t>
      </w:r>
      <w:r w:rsidRPr="00CB2568">
        <w:rPr>
          <w:lang w:val="fr-FR"/>
        </w:rPr>
        <w:t xml:space="preserve">) pour les logements construits avant 2012, et aux labels </w:t>
      </w:r>
      <w:r w:rsidR="0097317D">
        <w:rPr>
          <w:lang w:val="fr-FR"/>
        </w:rPr>
        <w:t>Bâtiment Basse Consommation (BBC)</w:t>
      </w:r>
      <w:r w:rsidRPr="00CB2568">
        <w:rPr>
          <w:lang w:val="fr-FR"/>
        </w:rPr>
        <w:t xml:space="preserve"> et </w:t>
      </w:r>
      <w:r w:rsidR="0097317D">
        <w:rPr>
          <w:lang w:val="fr-FR"/>
        </w:rPr>
        <w:t xml:space="preserve">Bâtiment à Energie Positive (BEPOS) </w:t>
      </w:r>
      <w:r w:rsidRPr="00CB2568">
        <w:rPr>
          <w:lang w:val="fr-FR"/>
        </w:rPr>
        <w:t xml:space="preserve">pour les logements construits après 2012. Ces catégories </w:t>
      </w:r>
      <w:r w:rsidR="000E56DF">
        <w:rPr>
          <w:lang w:val="fr-FR"/>
        </w:rPr>
        <w:t xml:space="preserve">décrivent implicitement </w:t>
      </w:r>
      <w:r w:rsidRPr="00CB2568">
        <w:rPr>
          <w:lang w:val="fr-FR"/>
        </w:rPr>
        <w:t xml:space="preserve">les caractéristiques techniques de </w:t>
      </w:r>
      <w:r w:rsidR="000E56DF">
        <w:rPr>
          <w:lang w:val="fr-FR"/>
        </w:rPr>
        <w:t>l’</w:t>
      </w:r>
      <w:r w:rsidRPr="00CB2568">
        <w:rPr>
          <w:lang w:val="fr-FR"/>
        </w:rPr>
        <w:t xml:space="preserve">enveloppe </w:t>
      </w:r>
      <w:r w:rsidR="000E56DF">
        <w:rPr>
          <w:lang w:val="fr-FR"/>
        </w:rPr>
        <w:t xml:space="preserve">(isolation, vitrage) </w:t>
      </w:r>
      <w:r w:rsidRPr="00CB2568">
        <w:rPr>
          <w:lang w:val="fr-FR"/>
        </w:rPr>
        <w:t>et du système de chauffage.</w:t>
      </w:r>
    </w:p>
    <w:p w14:paraId="0C46164C" w14:textId="14C1E17D" w:rsidR="00CB2568" w:rsidRPr="00CB2568" w:rsidRDefault="00CB2568" w:rsidP="00CB2568">
      <w:pPr>
        <w:pStyle w:val="Paragraphedeliste"/>
        <w:numPr>
          <w:ilvl w:val="0"/>
          <w:numId w:val="3"/>
        </w:numPr>
        <w:rPr>
          <w:lang w:val="fr-FR"/>
        </w:rPr>
      </w:pPr>
      <w:r w:rsidRPr="00CB2568">
        <w:rPr>
          <w:lang w:val="fr-FR"/>
        </w:rPr>
        <w:t>Quatre combustibles utilisés comme sou</w:t>
      </w:r>
      <w:r w:rsidR="007B662B">
        <w:rPr>
          <w:lang w:val="fr-FR"/>
        </w:rPr>
        <w:t xml:space="preserve">rce principale de chauffage : </w:t>
      </w:r>
      <w:r w:rsidRPr="00CB2568">
        <w:rPr>
          <w:lang w:val="fr-FR"/>
        </w:rPr>
        <w:t xml:space="preserve">électricité, gaz naturel, </w:t>
      </w:r>
      <w:r w:rsidR="009A1520">
        <w:rPr>
          <w:lang w:val="fr-FR"/>
        </w:rPr>
        <w:t>fioul domestique</w:t>
      </w:r>
      <w:r w:rsidRPr="00CB2568">
        <w:rPr>
          <w:lang w:val="fr-FR"/>
        </w:rPr>
        <w:t xml:space="preserve"> et bois</w:t>
      </w:r>
      <w:r w:rsidR="007B662B">
        <w:rPr>
          <w:lang w:val="fr-FR"/>
        </w:rPr>
        <w:t>-énergie</w:t>
      </w:r>
      <w:r w:rsidRPr="00CB2568">
        <w:rPr>
          <w:lang w:val="fr-FR"/>
        </w:rPr>
        <w:t xml:space="preserve"> (</w:t>
      </w:r>
      <w:r w:rsidR="00CD2D08">
        <w:rPr>
          <w:lang w:val="fr-FR"/>
        </w:rPr>
        <w:t xml:space="preserve">soit </w:t>
      </w:r>
      <w:r w:rsidRPr="00CB2568">
        <w:rPr>
          <w:lang w:val="fr-FR"/>
        </w:rPr>
        <w:t xml:space="preserve">91 % de la demande </w:t>
      </w:r>
      <w:r w:rsidR="00CD2D08">
        <w:rPr>
          <w:lang w:val="fr-FR"/>
        </w:rPr>
        <w:t xml:space="preserve">d’énergie </w:t>
      </w:r>
      <w:r w:rsidRPr="00CB2568">
        <w:rPr>
          <w:lang w:val="fr-FR"/>
        </w:rPr>
        <w:t>pour le chauffage).</w:t>
      </w:r>
    </w:p>
    <w:p w14:paraId="77D21229" w14:textId="49343ED1" w:rsidR="00CB2568" w:rsidRPr="00CB2568" w:rsidRDefault="00CB2568" w:rsidP="00CB2568">
      <w:pPr>
        <w:pStyle w:val="Paragraphedeliste"/>
        <w:numPr>
          <w:ilvl w:val="0"/>
          <w:numId w:val="3"/>
        </w:numPr>
        <w:rPr>
          <w:lang w:val="fr-FR"/>
        </w:rPr>
      </w:pPr>
      <w:r w:rsidRPr="00CB2568">
        <w:rPr>
          <w:lang w:val="fr-FR"/>
        </w:rPr>
        <w:t xml:space="preserve">Deux catégories de logements : </w:t>
      </w:r>
      <w:r w:rsidR="00F72E54">
        <w:rPr>
          <w:lang w:val="fr-FR"/>
        </w:rPr>
        <w:t>maison individuelle (61%) et logement collectif (39%)</w:t>
      </w:r>
      <w:r w:rsidRPr="00CB2568">
        <w:rPr>
          <w:lang w:val="fr-FR"/>
        </w:rPr>
        <w:t>.</w:t>
      </w:r>
    </w:p>
    <w:p w14:paraId="510FA3B5" w14:textId="4B14B6C5" w:rsidR="00CB2568" w:rsidRPr="00CB2568" w:rsidRDefault="00CB2568" w:rsidP="00CB2568">
      <w:pPr>
        <w:pStyle w:val="Paragraphedeliste"/>
        <w:numPr>
          <w:ilvl w:val="0"/>
          <w:numId w:val="3"/>
        </w:numPr>
        <w:rPr>
          <w:lang w:val="fr-FR"/>
        </w:rPr>
      </w:pPr>
      <w:r w:rsidRPr="00CB2568">
        <w:rPr>
          <w:lang w:val="fr-FR"/>
        </w:rPr>
        <w:t>Trois catégories de propriétaires : propriétaires-occupants</w:t>
      </w:r>
      <w:r w:rsidR="00F72E54">
        <w:rPr>
          <w:lang w:val="fr-FR"/>
        </w:rPr>
        <w:t xml:space="preserve"> (61%)</w:t>
      </w:r>
      <w:r w:rsidRPr="00CB2568">
        <w:rPr>
          <w:lang w:val="fr-FR"/>
        </w:rPr>
        <w:t xml:space="preserve">, propriétaires </w:t>
      </w:r>
      <w:r w:rsidR="00F72E54">
        <w:rPr>
          <w:lang w:val="fr-FR"/>
        </w:rPr>
        <w:t xml:space="preserve">bailleurs (24%) </w:t>
      </w:r>
      <w:r w:rsidRPr="00CB2568">
        <w:rPr>
          <w:lang w:val="fr-FR"/>
        </w:rPr>
        <w:t xml:space="preserve">et </w:t>
      </w:r>
      <w:r w:rsidR="00F72E54">
        <w:rPr>
          <w:lang w:val="fr-FR"/>
        </w:rPr>
        <w:t>bailleurs sociaux (15%)</w:t>
      </w:r>
      <w:r w:rsidRPr="00CB2568">
        <w:rPr>
          <w:lang w:val="fr-FR"/>
        </w:rPr>
        <w:t>.</w:t>
      </w:r>
    </w:p>
    <w:p w14:paraId="5923963F" w14:textId="0E913D3A" w:rsidR="005E4704" w:rsidRPr="00CB2568" w:rsidRDefault="00CB2568" w:rsidP="00CB2568">
      <w:pPr>
        <w:pStyle w:val="Paragraphedeliste"/>
        <w:numPr>
          <w:ilvl w:val="0"/>
          <w:numId w:val="3"/>
        </w:numPr>
        <w:rPr>
          <w:lang w:val="fr-FR"/>
        </w:rPr>
      </w:pPr>
      <w:r w:rsidRPr="00CB2568">
        <w:rPr>
          <w:lang w:val="fr-FR"/>
        </w:rPr>
        <w:t>Cinq niveaux de revenus pour les propriétaires et les occupants, proches</w:t>
      </w:r>
      <w:r w:rsidR="006651A6">
        <w:rPr>
          <w:rStyle w:val="Appelnotedebasdep"/>
          <w:lang w:val="fr-FR"/>
        </w:rPr>
        <w:footnoteReference w:id="2"/>
      </w:r>
      <w:r w:rsidRPr="00CB2568">
        <w:rPr>
          <w:lang w:val="fr-FR"/>
        </w:rPr>
        <w:t xml:space="preserve"> des quintiles de revenus de la po</w:t>
      </w:r>
      <w:r w:rsidR="00361DAB">
        <w:rPr>
          <w:lang w:val="fr-FR"/>
        </w:rPr>
        <w:t>pulation française donnés par l’</w:t>
      </w:r>
      <w:r w:rsidRPr="00CB2568">
        <w:rPr>
          <w:lang w:val="fr-FR"/>
        </w:rPr>
        <w:t>I</w:t>
      </w:r>
      <w:r w:rsidR="00361DAB">
        <w:rPr>
          <w:lang w:val="fr-FR"/>
        </w:rPr>
        <w:t>nsee</w:t>
      </w:r>
      <w:r w:rsidR="00357144">
        <w:rPr>
          <w:lang w:val="fr-FR"/>
        </w:rPr>
        <w:t xml:space="preserve"> (F</w:t>
      </w:r>
      <w:r w:rsidRPr="00CB2568">
        <w:rPr>
          <w:lang w:val="fr-FR"/>
        </w:rPr>
        <w:t xml:space="preserve">igure </w:t>
      </w:r>
      <w:r w:rsidR="00357144">
        <w:rPr>
          <w:lang w:val="fr-FR"/>
        </w:rPr>
        <w:t>1</w:t>
      </w:r>
      <w:r w:rsidRPr="00CB2568">
        <w:rPr>
          <w:lang w:val="fr-FR"/>
        </w:rPr>
        <w:t>).</w:t>
      </w:r>
    </w:p>
    <w:p w14:paraId="601BEAF1" w14:textId="2B4675E6" w:rsidR="00373530" w:rsidRPr="00C912D0" w:rsidRDefault="006009BA" w:rsidP="00373530">
      <w:pPr>
        <w:keepNext/>
        <w:jc w:val="center"/>
        <w:rPr>
          <w:lang w:val="en-GB"/>
        </w:rPr>
      </w:pPr>
      <w:r>
        <w:rPr>
          <w:noProof/>
        </w:rPr>
        <w:lastRenderedPageBreak/>
        <w:drawing>
          <wp:inline distT="0" distB="0" distL="0" distR="0" wp14:anchorId="4925C030" wp14:editId="3C4F4790">
            <wp:extent cx="3581400" cy="2159432"/>
            <wp:effectExtent l="0" t="0" r="0" b="0"/>
            <wp:docPr id="30" name="Image 30" descr="C:\Users\Admin\AppData\Local\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338" cy="2159395"/>
                    </a:xfrm>
                    <a:prstGeom prst="rect">
                      <a:avLst/>
                    </a:prstGeom>
                    <a:noFill/>
                    <a:ln>
                      <a:noFill/>
                    </a:ln>
                  </pic:spPr>
                </pic:pic>
              </a:graphicData>
            </a:graphic>
          </wp:inline>
        </w:drawing>
      </w:r>
    </w:p>
    <w:p w14:paraId="2A111AF6" w14:textId="42D2E752" w:rsidR="00034FB8" w:rsidRPr="00351A2E" w:rsidRDefault="00373530" w:rsidP="00373530">
      <w:pPr>
        <w:pStyle w:val="Lgende"/>
        <w:jc w:val="center"/>
        <w:rPr>
          <w:lang w:val="fr-FR"/>
        </w:rPr>
      </w:pPr>
      <w:r w:rsidRPr="00351A2E">
        <w:rPr>
          <w:lang w:val="fr-FR"/>
        </w:rPr>
        <w:t xml:space="preserve">Figure </w:t>
      </w:r>
      <w:r w:rsidR="005771E8" w:rsidRPr="00C912D0">
        <w:rPr>
          <w:lang w:val="en-GB"/>
        </w:rPr>
        <w:fldChar w:fldCharType="begin"/>
      </w:r>
      <w:r w:rsidR="005771E8" w:rsidRPr="00351A2E">
        <w:rPr>
          <w:lang w:val="fr-FR"/>
        </w:rPr>
        <w:instrText xml:space="preserve"> SEQ Figure \* ARABIC </w:instrText>
      </w:r>
      <w:r w:rsidR="005771E8" w:rsidRPr="00C912D0">
        <w:rPr>
          <w:lang w:val="en-GB"/>
        </w:rPr>
        <w:fldChar w:fldCharType="separate"/>
      </w:r>
      <w:r w:rsidR="000D3843">
        <w:rPr>
          <w:noProof/>
          <w:lang w:val="fr-FR"/>
        </w:rPr>
        <w:t>1</w:t>
      </w:r>
      <w:r w:rsidR="005771E8" w:rsidRPr="00C912D0">
        <w:rPr>
          <w:noProof/>
          <w:lang w:val="en-GB"/>
        </w:rPr>
        <w:fldChar w:fldCharType="end"/>
      </w:r>
      <w:r w:rsidRPr="00351A2E">
        <w:rPr>
          <w:lang w:val="fr-FR"/>
        </w:rPr>
        <w:t xml:space="preserve">: Distribution </w:t>
      </w:r>
      <w:r w:rsidR="00351A2E" w:rsidRPr="00351A2E">
        <w:rPr>
          <w:lang w:val="fr-FR"/>
        </w:rPr>
        <w:t xml:space="preserve">des </w:t>
      </w:r>
      <w:r w:rsidR="00351A2E">
        <w:rPr>
          <w:lang w:val="fr-FR"/>
        </w:rPr>
        <w:t>catégories de revenu par niveau de performance énergétique</w:t>
      </w:r>
    </w:p>
    <w:p w14:paraId="6D44090F" w14:textId="6D95B6B5" w:rsidR="004B08D8" w:rsidRPr="00CB2568" w:rsidRDefault="00CB2568" w:rsidP="00D55F79">
      <w:pPr>
        <w:rPr>
          <w:lang w:val="fr-FR"/>
        </w:rPr>
      </w:pPr>
      <w:r w:rsidRPr="00CB2568">
        <w:rPr>
          <w:lang w:val="fr-FR"/>
        </w:rPr>
        <w:t xml:space="preserve">Le modèle est alimenté par trois </w:t>
      </w:r>
      <w:r w:rsidR="003B462E">
        <w:rPr>
          <w:lang w:val="fr-FR"/>
        </w:rPr>
        <w:t>variables d’entrée</w:t>
      </w:r>
      <w:r w:rsidR="00DF5E70">
        <w:rPr>
          <w:lang w:val="fr-FR"/>
        </w:rPr>
        <w:t> :</w:t>
      </w:r>
      <w:r w:rsidRPr="00CB2568">
        <w:rPr>
          <w:lang w:val="fr-FR"/>
        </w:rPr>
        <w:t xml:space="preserve"> la population, le revenu total et les prix </w:t>
      </w:r>
      <w:r w:rsidR="007B7CE2">
        <w:rPr>
          <w:lang w:val="fr-FR"/>
        </w:rPr>
        <w:t xml:space="preserve">des </w:t>
      </w:r>
      <w:r w:rsidRPr="00CB2568">
        <w:rPr>
          <w:lang w:val="fr-FR"/>
        </w:rPr>
        <w:t>énergie</w:t>
      </w:r>
      <w:r w:rsidR="007B7CE2">
        <w:rPr>
          <w:lang w:val="fr-FR"/>
        </w:rPr>
        <w:t>s. Ces variables déterminent l’</w:t>
      </w:r>
      <w:r w:rsidRPr="00CB2568">
        <w:rPr>
          <w:lang w:val="fr-FR"/>
        </w:rPr>
        <w:t xml:space="preserve">amélioration de l'efficacité énergétique </w:t>
      </w:r>
      <w:r w:rsidR="007B7CE2">
        <w:rPr>
          <w:lang w:val="fr-FR"/>
        </w:rPr>
        <w:t xml:space="preserve">via la construction de logements neufs, </w:t>
      </w:r>
      <w:r w:rsidRPr="00CB2568">
        <w:rPr>
          <w:lang w:val="fr-FR"/>
        </w:rPr>
        <w:t>la rénovation des logements existants</w:t>
      </w:r>
      <w:r w:rsidR="007B7CE2">
        <w:rPr>
          <w:lang w:val="fr-FR"/>
        </w:rPr>
        <w:t xml:space="preserve"> et l’intensité </w:t>
      </w:r>
      <w:r w:rsidRPr="00CB2568">
        <w:rPr>
          <w:lang w:val="fr-FR"/>
        </w:rPr>
        <w:t xml:space="preserve">avec laquelle les occupants </w:t>
      </w:r>
      <w:r w:rsidR="007B7CE2">
        <w:rPr>
          <w:lang w:val="fr-FR"/>
        </w:rPr>
        <w:t>utilisent leur infrastructure de chauffage.</w:t>
      </w:r>
    </w:p>
    <w:p w14:paraId="661C7F68" w14:textId="335A0081" w:rsidR="00FC55A9" w:rsidRPr="00C912D0" w:rsidRDefault="00436E4D" w:rsidP="00C641B8">
      <w:pPr>
        <w:pStyle w:val="Titre2"/>
        <w:rPr>
          <w:lang w:val="en-GB"/>
        </w:rPr>
      </w:pPr>
      <w:r w:rsidRPr="00C912D0">
        <w:rPr>
          <w:lang w:val="en-GB"/>
        </w:rPr>
        <w:t xml:space="preserve">Construction </w:t>
      </w:r>
      <w:r w:rsidR="00D714C6">
        <w:rPr>
          <w:lang w:val="en-GB"/>
        </w:rPr>
        <w:t>neuve</w:t>
      </w:r>
    </w:p>
    <w:p w14:paraId="5CD7B918" w14:textId="77777777" w:rsidR="00654C1D" w:rsidRDefault="00654C1D" w:rsidP="00654C1D">
      <w:pPr>
        <w:rPr>
          <w:lang w:val="fr-FR"/>
        </w:rPr>
      </w:pPr>
      <w:r w:rsidRPr="00654C1D">
        <w:rPr>
          <w:lang w:val="fr-FR"/>
        </w:rPr>
        <w:t>La construction de nouveaux</w:t>
      </w:r>
      <w:r>
        <w:rPr>
          <w:lang w:val="fr-FR"/>
        </w:rPr>
        <w:t xml:space="preserve"> logements est déterminée par :</w:t>
      </w:r>
    </w:p>
    <w:p w14:paraId="2B127DE1" w14:textId="5DC9316F" w:rsidR="00654C1D" w:rsidRPr="00654C1D" w:rsidRDefault="00654C1D" w:rsidP="00654C1D">
      <w:pPr>
        <w:pStyle w:val="Paragraphedeliste"/>
        <w:numPr>
          <w:ilvl w:val="0"/>
          <w:numId w:val="14"/>
        </w:numPr>
        <w:rPr>
          <w:lang w:val="fr-FR"/>
        </w:rPr>
      </w:pPr>
      <w:r w:rsidRPr="00654C1D">
        <w:rPr>
          <w:lang w:val="fr-FR"/>
        </w:rPr>
        <w:t>Une projection démographique exogène</w:t>
      </w:r>
      <w:r w:rsidR="00621244">
        <w:rPr>
          <w:lang w:val="fr-FR"/>
        </w:rPr>
        <w:t xml:space="preserve"> qui détermine les </w:t>
      </w:r>
      <w:r w:rsidR="00DF4E0F">
        <w:rPr>
          <w:lang w:val="fr-FR"/>
        </w:rPr>
        <w:t>effectifs</w:t>
      </w:r>
      <w:r w:rsidR="00621244">
        <w:rPr>
          <w:lang w:val="fr-FR"/>
        </w:rPr>
        <w:t xml:space="preserve"> de logement. Cette projection est basée sur un scénario de </w:t>
      </w:r>
      <w:r w:rsidR="004B3938">
        <w:rPr>
          <w:lang w:val="fr-FR"/>
        </w:rPr>
        <w:t>l’</w:t>
      </w:r>
      <w:r w:rsidR="003B462E">
        <w:rPr>
          <w:lang w:val="fr-FR"/>
        </w:rPr>
        <w:t>Insee</w:t>
      </w:r>
      <w:r w:rsidR="004B3938">
        <w:rPr>
          <w:lang w:val="fr-FR"/>
        </w:rPr>
        <w:t xml:space="preserve"> (</w:t>
      </w:r>
      <w:r w:rsidRPr="00654C1D">
        <w:rPr>
          <w:lang w:val="fr-FR"/>
        </w:rPr>
        <w:t>2006)</w:t>
      </w:r>
      <w:r w:rsidR="00621244">
        <w:rPr>
          <w:lang w:val="fr-FR"/>
        </w:rPr>
        <w:t xml:space="preserve"> équivalente </w:t>
      </w:r>
      <w:r w:rsidR="004B3938">
        <w:rPr>
          <w:lang w:val="fr-FR"/>
        </w:rPr>
        <w:t xml:space="preserve">à un </w:t>
      </w:r>
      <w:r w:rsidRPr="00654C1D">
        <w:rPr>
          <w:lang w:val="fr-FR"/>
        </w:rPr>
        <w:t>taux de croissance annuel moyen de 0,3%.</w:t>
      </w:r>
    </w:p>
    <w:p w14:paraId="400E7252" w14:textId="63E70530" w:rsidR="00654C1D" w:rsidRPr="00654C1D" w:rsidRDefault="00654C1D" w:rsidP="00654C1D">
      <w:pPr>
        <w:pStyle w:val="Paragraphedeliste"/>
        <w:numPr>
          <w:ilvl w:val="0"/>
          <w:numId w:val="14"/>
        </w:numPr>
        <w:rPr>
          <w:lang w:val="fr-FR"/>
        </w:rPr>
      </w:pPr>
      <w:r w:rsidRPr="00654C1D">
        <w:rPr>
          <w:lang w:val="fr-FR"/>
        </w:rPr>
        <w:t xml:space="preserve">Une projection exogène du revenu des ménages, qui détermine la </w:t>
      </w:r>
      <w:r w:rsidR="00621244">
        <w:rPr>
          <w:lang w:val="fr-FR"/>
        </w:rPr>
        <w:t xml:space="preserve">surface </w:t>
      </w:r>
      <w:r w:rsidRPr="00654C1D">
        <w:rPr>
          <w:lang w:val="fr-FR"/>
        </w:rPr>
        <w:t xml:space="preserve">moyenne par </w:t>
      </w:r>
      <w:r w:rsidR="00DF4E0F">
        <w:rPr>
          <w:lang w:val="fr-FR"/>
        </w:rPr>
        <w:t>logement</w:t>
      </w:r>
      <w:r w:rsidRPr="00654C1D">
        <w:rPr>
          <w:lang w:val="fr-FR"/>
        </w:rPr>
        <w:t xml:space="preserve">. </w:t>
      </w:r>
      <w:r w:rsidR="00621244">
        <w:rPr>
          <w:lang w:val="fr-FR"/>
        </w:rPr>
        <w:t>C</w:t>
      </w:r>
      <w:r w:rsidRPr="00654C1D">
        <w:rPr>
          <w:lang w:val="fr-FR"/>
        </w:rPr>
        <w:t>ombiné</w:t>
      </w:r>
      <w:r w:rsidR="00621244">
        <w:rPr>
          <w:lang w:val="fr-FR"/>
        </w:rPr>
        <w:t>e</w:t>
      </w:r>
      <w:r w:rsidRPr="00654C1D">
        <w:rPr>
          <w:lang w:val="fr-FR"/>
        </w:rPr>
        <w:t xml:space="preserve"> à la </w:t>
      </w:r>
      <w:r w:rsidR="00621244">
        <w:rPr>
          <w:lang w:val="fr-FR"/>
        </w:rPr>
        <w:t xml:space="preserve">précédente, </w:t>
      </w:r>
      <w:r w:rsidR="004E427C">
        <w:rPr>
          <w:lang w:val="fr-FR"/>
        </w:rPr>
        <w:t xml:space="preserve">cette projection </w:t>
      </w:r>
      <w:r w:rsidRPr="00654C1D">
        <w:rPr>
          <w:lang w:val="fr-FR"/>
        </w:rPr>
        <w:t xml:space="preserve">détermine </w:t>
      </w:r>
      <w:r w:rsidR="00DF4E0F">
        <w:rPr>
          <w:lang w:val="fr-FR"/>
        </w:rPr>
        <w:t xml:space="preserve">les besoins de logement totaux </w:t>
      </w:r>
      <w:r w:rsidR="00621244">
        <w:rPr>
          <w:lang w:val="fr-FR"/>
        </w:rPr>
        <w:t>en m²</w:t>
      </w:r>
      <w:r w:rsidRPr="00654C1D">
        <w:rPr>
          <w:lang w:val="fr-FR"/>
        </w:rPr>
        <w:t xml:space="preserve">. </w:t>
      </w:r>
      <w:r w:rsidR="00C80FBA">
        <w:rPr>
          <w:lang w:val="fr-FR"/>
        </w:rPr>
        <w:t xml:space="preserve">On suppose </w:t>
      </w:r>
      <w:r w:rsidRPr="00654C1D">
        <w:rPr>
          <w:lang w:val="fr-FR"/>
        </w:rPr>
        <w:t xml:space="preserve">que les revenus croissent à un taux annuel constant de 1,2 %, </w:t>
      </w:r>
      <w:r w:rsidR="00C80FBA">
        <w:rPr>
          <w:lang w:val="fr-FR"/>
        </w:rPr>
        <w:t xml:space="preserve">dans la poursuite des </w:t>
      </w:r>
      <w:r w:rsidRPr="00654C1D">
        <w:rPr>
          <w:lang w:val="fr-FR"/>
        </w:rPr>
        <w:t>tendances récentes.</w:t>
      </w:r>
    </w:p>
    <w:p w14:paraId="32E7D2C1" w14:textId="77DC4421" w:rsidR="00654C1D" w:rsidRPr="00654C1D" w:rsidRDefault="00C62E7C" w:rsidP="00654C1D">
      <w:pPr>
        <w:pStyle w:val="Paragraphedeliste"/>
        <w:numPr>
          <w:ilvl w:val="0"/>
          <w:numId w:val="14"/>
        </w:numPr>
        <w:rPr>
          <w:lang w:val="fr-FR"/>
        </w:rPr>
      </w:pPr>
      <w:r w:rsidRPr="00654C1D">
        <w:rPr>
          <w:lang w:val="fr-FR"/>
        </w:rPr>
        <w:t xml:space="preserve">Les nouvelles constructions sont déterminées chaque année </w:t>
      </w:r>
      <w:r>
        <w:rPr>
          <w:lang w:val="fr-FR"/>
        </w:rPr>
        <w:t xml:space="preserve">comme le solde entre les </w:t>
      </w:r>
      <w:r w:rsidRPr="00654C1D">
        <w:rPr>
          <w:lang w:val="fr-FR"/>
        </w:rPr>
        <w:t xml:space="preserve">besoins totaux </w:t>
      </w:r>
      <w:r>
        <w:rPr>
          <w:lang w:val="fr-FR"/>
        </w:rPr>
        <w:t>et la part subsistante du parc existant</w:t>
      </w:r>
      <w:r w:rsidRPr="00654C1D">
        <w:rPr>
          <w:lang w:val="fr-FR"/>
        </w:rPr>
        <w:t xml:space="preserve"> </w:t>
      </w:r>
      <w:r>
        <w:rPr>
          <w:lang w:val="fr-FR"/>
        </w:rPr>
        <w:t>(</w:t>
      </w:r>
      <w:r w:rsidR="000A4CA6">
        <w:rPr>
          <w:lang w:val="fr-FR"/>
        </w:rPr>
        <w:t xml:space="preserve">i.e., logements </w:t>
      </w:r>
      <w:r w:rsidR="00DF4E0F">
        <w:rPr>
          <w:lang w:val="fr-FR"/>
        </w:rPr>
        <w:t>construits avant 2013</w:t>
      </w:r>
      <w:r>
        <w:rPr>
          <w:lang w:val="fr-FR"/>
        </w:rPr>
        <w:t xml:space="preserve">, </w:t>
      </w:r>
      <w:r w:rsidR="00DF4E0F">
        <w:rPr>
          <w:lang w:val="fr-FR"/>
        </w:rPr>
        <w:t xml:space="preserve">dont les effectifs </w:t>
      </w:r>
      <w:r w:rsidR="004E427C">
        <w:rPr>
          <w:lang w:val="fr-FR"/>
        </w:rPr>
        <w:t>s’</w:t>
      </w:r>
      <w:r w:rsidR="00654C1D" w:rsidRPr="00654C1D">
        <w:rPr>
          <w:lang w:val="fr-FR"/>
        </w:rPr>
        <w:t>érode</w:t>
      </w:r>
      <w:r w:rsidR="00DF4E0F">
        <w:rPr>
          <w:lang w:val="fr-FR"/>
        </w:rPr>
        <w:t>nt</w:t>
      </w:r>
      <w:r w:rsidR="00654C1D" w:rsidRPr="00654C1D">
        <w:rPr>
          <w:lang w:val="fr-FR"/>
        </w:rPr>
        <w:t xml:space="preserve"> à un taux annuel constant de 0,35 %</w:t>
      </w:r>
      <w:r w:rsidR="00AF7510">
        <w:rPr>
          <w:lang w:val="fr-FR"/>
        </w:rPr>
        <w:t xml:space="preserve"> d’après Allaire et al. (2008)</w:t>
      </w:r>
      <w:r>
        <w:rPr>
          <w:lang w:val="fr-FR"/>
        </w:rPr>
        <w:t>)</w:t>
      </w:r>
      <w:r w:rsidR="00654C1D" w:rsidRPr="00654C1D">
        <w:rPr>
          <w:lang w:val="fr-FR"/>
        </w:rPr>
        <w:t>.</w:t>
      </w:r>
    </w:p>
    <w:p w14:paraId="028D01CC" w14:textId="68AFDB08" w:rsidR="00654C1D" w:rsidRPr="00654C1D" w:rsidRDefault="000A4CA6" w:rsidP="00654C1D">
      <w:pPr>
        <w:rPr>
          <w:lang w:val="fr-FR"/>
        </w:rPr>
      </w:pPr>
      <w:r>
        <w:rPr>
          <w:lang w:val="fr-FR"/>
        </w:rPr>
        <w:t xml:space="preserve">Cette </w:t>
      </w:r>
      <w:r w:rsidR="00654C1D" w:rsidRPr="00654C1D">
        <w:rPr>
          <w:lang w:val="fr-FR"/>
        </w:rPr>
        <w:t xml:space="preserve">spécification </w:t>
      </w:r>
      <w:r w:rsidR="00C62E7C">
        <w:rPr>
          <w:lang w:val="fr-FR"/>
        </w:rPr>
        <w:t xml:space="preserve">conduit </w:t>
      </w:r>
      <w:r w:rsidR="00654C1D" w:rsidRPr="00654C1D">
        <w:rPr>
          <w:lang w:val="fr-FR"/>
        </w:rPr>
        <w:t xml:space="preserve">à un stock </w:t>
      </w:r>
      <w:r>
        <w:rPr>
          <w:lang w:val="fr-FR"/>
        </w:rPr>
        <w:t>cumulé de logements d'avant 2013</w:t>
      </w:r>
      <w:r w:rsidR="00654C1D" w:rsidRPr="00654C1D">
        <w:rPr>
          <w:lang w:val="fr-FR"/>
        </w:rPr>
        <w:t xml:space="preserve"> représentant 66 % de la surface totale et 75 % du nombre total de logements en 2050.</w:t>
      </w:r>
    </w:p>
    <w:p w14:paraId="6FE064A5" w14:textId="3AC6EF42" w:rsidR="00E65FE1" w:rsidRPr="00654C1D" w:rsidRDefault="00660D70" w:rsidP="00654C1D">
      <w:pPr>
        <w:rPr>
          <w:lang w:val="fr-FR"/>
        </w:rPr>
      </w:pPr>
      <w:r>
        <w:rPr>
          <w:lang w:val="fr-FR"/>
        </w:rPr>
        <w:t>L’</w:t>
      </w:r>
      <w:r w:rsidR="00654C1D" w:rsidRPr="00654C1D">
        <w:rPr>
          <w:lang w:val="fr-FR"/>
        </w:rPr>
        <w:t xml:space="preserve">efficacité énergétique et </w:t>
      </w:r>
      <w:r>
        <w:rPr>
          <w:lang w:val="fr-FR"/>
        </w:rPr>
        <w:t xml:space="preserve">l’énergie </w:t>
      </w:r>
      <w:r w:rsidR="00654C1D" w:rsidRPr="00654C1D">
        <w:rPr>
          <w:lang w:val="fr-FR"/>
        </w:rPr>
        <w:t>de chauffage principal</w:t>
      </w:r>
      <w:r>
        <w:rPr>
          <w:lang w:val="fr-FR"/>
        </w:rPr>
        <w:t>e</w:t>
      </w:r>
      <w:r w:rsidR="00654C1D" w:rsidRPr="00654C1D">
        <w:rPr>
          <w:lang w:val="fr-FR"/>
        </w:rPr>
        <w:t xml:space="preserve"> de chaque nouveau logement sont déterminé</w:t>
      </w:r>
      <w:r>
        <w:rPr>
          <w:lang w:val="fr-FR"/>
        </w:rPr>
        <w:t>e</w:t>
      </w:r>
      <w:r w:rsidR="00654C1D" w:rsidRPr="00654C1D">
        <w:rPr>
          <w:lang w:val="fr-FR"/>
        </w:rPr>
        <w:t xml:space="preserve">s conjointement par des fonctions de choix discret qui attribuent à chaque option </w:t>
      </w:r>
      <w:r>
        <w:rPr>
          <w:lang w:val="fr-FR"/>
        </w:rPr>
        <w:t xml:space="preserve">une part de marché </w:t>
      </w:r>
      <w:r w:rsidR="00654C1D" w:rsidRPr="00654C1D">
        <w:rPr>
          <w:lang w:val="fr-FR"/>
        </w:rPr>
        <w:t xml:space="preserve">en fonction de son coût </w:t>
      </w:r>
      <w:r>
        <w:rPr>
          <w:lang w:val="fr-FR"/>
        </w:rPr>
        <w:t xml:space="preserve">sur le </w:t>
      </w:r>
      <w:r w:rsidR="00654C1D" w:rsidRPr="00654C1D">
        <w:rPr>
          <w:lang w:val="fr-FR"/>
        </w:rPr>
        <w:t xml:space="preserve">cycle de vie, actualisé à 7 % sur 35 ans. </w:t>
      </w:r>
      <w:r w:rsidR="0095241D">
        <w:rPr>
          <w:lang w:val="fr-FR"/>
        </w:rPr>
        <w:t xml:space="preserve">Le prix des énergie pris en compte dans ce calcul est celui de l’année considérée, traduisant des anticipations myopes bien </w:t>
      </w:r>
      <w:r w:rsidR="0095241D">
        <w:rPr>
          <w:lang w:val="fr-FR"/>
        </w:rPr>
        <w:lastRenderedPageBreak/>
        <w:t xml:space="preserve">documentées dans le secteur des transports (Anderson et </w:t>
      </w:r>
      <w:proofErr w:type="gramStart"/>
      <w:r w:rsidR="0095241D">
        <w:rPr>
          <w:lang w:val="fr-FR"/>
        </w:rPr>
        <w:t>al.,</w:t>
      </w:r>
      <w:proofErr w:type="gramEnd"/>
      <w:r w:rsidR="0095241D">
        <w:rPr>
          <w:lang w:val="fr-FR"/>
        </w:rPr>
        <w:t xml:space="preserve"> 2013). </w:t>
      </w:r>
      <w:r w:rsidR="00654C1D" w:rsidRPr="00654C1D">
        <w:rPr>
          <w:lang w:val="fr-FR"/>
        </w:rPr>
        <w:t>Le tableau 1 détaille le coût de construction de chaque option</w:t>
      </w:r>
      <w:r w:rsidR="00DE6B2D">
        <w:rPr>
          <w:lang w:val="fr-FR"/>
        </w:rPr>
        <w:t xml:space="preserve"> (d’après CGDD, 2015)</w:t>
      </w:r>
      <w:r w:rsidR="005771E8">
        <w:rPr>
          <w:rStyle w:val="Appelnotedebasdep"/>
          <w:lang w:val="en-GB"/>
        </w:rPr>
        <w:footnoteReference w:id="3"/>
      </w:r>
      <w:r w:rsidR="00E65FE1" w:rsidRPr="00654C1D">
        <w:rPr>
          <w:lang w:val="fr-FR"/>
        </w:rPr>
        <w:t>.</w:t>
      </w:r>
    </w:p>
    <w:p w14:paraId="0E820FA5" w14:textId="5C09E15B" w:rsidR="00E65FE1" w:rsidRPr="00D41402" w:rsidRDefault="00E65FE1" w:rsidP="00D15347">
      <w:pPr>
        <w:pStyle w:val="Lgende"/>
        <w:keepNext/>
        <w:rPr>
          <w:lang w:val="fr-FR"/>
        </w:rPr>
      </w:pPr>
      <w:r w:rsidRPr="00D41402">
        <w:rPr>
          <w:lang w:val="fr-FR"/>
        </w:rPr>
        <w:t>Table</w:t>
      </w:r>
      <w:r w:rsidR="00D41402" w:rsidRPr="00D41402">
        <w:rPr>
          <w:lang w:val="fr-FR"/>
        </w:rPr>
        <w:t>au</w:t>
      </w:r>
      <w:r w:rsidRPr="00D41402">
        <w:rPr>
          <w:lang w:val="fr-FR"/>
        </w:rPr>
        <w:t xml:space="preserve"> </w:t>
      </w:r>
      <w:r w:rsidR="005771E8" w:rsidRPr="00C912D0">
        <w:rPr>
          <w:lang w:val="en-GB"/>
        </w:rPr>
        <w:fldChar w:fldCharType="begin"/>
      </w:r>
      <w:r w:rsidR="005771E8" w:rsidRPr="00D41402">
        <w:rPr>
          <w:lang w:val="fr-FR"/>
        </w:rPr>
        <w:instrText xml:space="preserve"> SEQ Table \* ARABIC </w:instrText>
      </w:r>
      <w:r w:rsidR="005771E8" w:rsidRPr="00C912D0">
        <w:rPr>
          <w:lang w:val="en-GB"/>
        </w:rPr>
        <w:fldChar w:fldCharType="separate"/>
      </w:r>
      <w:r w:rsidR="00357144">
        <w:rPr>
          <w:noProof/>
          <w:lang w:val="fr-FR"/>
        </w:rPr>
        <w:t>1</w:t>
      </w:r>
      <w:r w:rsidR="005771E8" w:rsidRPr="00C912D0">
        <w:rPr>
          <w:noProof/>
          <w:lang w:val="en-GB"/>
        </w:rPr>
        <w:fldChar w:fldCharType="end"/>
      </w:r>
      <w:r w:rsidRPr="00D41402">
        <w:rPr>
          <w:lang w:val="fr-FR"/>
        </w:rPr>
        <w:t xml:space="preserve">: </w:t>
      </w:r>
      <w:r w:rsidR="00D41402" w:rsidRPr="00D41402">
        <w:rPr>
          <w:lang w:val="fr-FR"/>
        </w:rPr>
        <w:t>Coûts de construction, en</w:t>
      </w:r>
      <w:r w:rsidRPr="00D41402">
        <w:rPr>
          <w:lang w:val="fr-FR"/>
        </w:rPr>
        <w:t xml:space="preserve"> €/m²</w:t>
      </w:r>
    </w:p>
    <w:tbl>
      <w:tblPr>
        <w:tblStyle w:val="Grilledutableau"/>
        <w:tblW w:w="0" w:type="auto"/>
        <w:tblLook w:val="04A0" w:firstRow="1" w:lastRow="0" w:firstColumn="1" w:lastColumn="0" w:noHBand="0" w:noVBand="1"/>
      </w:tblPr>
      <w:tblGrid>
        <w:gridCol w:w="1924"/>
        <w:gridCol w:w="1924"/>
        <w:gridCol w:w="1924"/>
        <w:gridCol w:w="1925"/>
        <w:gridCol w:w="1925"/>
      </w:tblGrid>
      <w:tr w:rsidR="00E65FE1" w:rsidRPr="005771E8" w14:paraId="232FE17D" w14:textId="77777777" w:rsidTr="005771E8">
        <w:tc>
          <w:tcPr>
            <w:tcW w:w="1924" w:type="dxa"/>
            <w:tcBorders>
              <w:left w:val="nil"/>
              <w:bottom w:val="nil"/>
            </w:tcBorders>
          </w:tcPr>
          <w:p w14:paraId="2E9EF09A" w14:textId="77777777" w:rsidR="00E65FE1" w:rsidRPr="00D41402" w:rsidRDefault="00E65FE1" w:rsidP="00C912D0">
            <w:pPr>
              <w:keepNext/>
              <w:rPr>
                <w:sz w:val="16"/>
                <w:szCs w:val="16"/>
                <w:lang w:val="fr-FR"/>
              </w:rPr>
            </w:pPr>
          </w:p>
        </w:tc>
        <w:tc>
          <w:tcPr>
            <w:tcW w:w="3848" w:type="dxa"/>
            <w:gridSpan w:val="2"/>
            <w:tcBorders>
              <w:bottom w:val="nil"/>
            </w:tcBorders>
          </w:tcPr>
          <w:p w14:paraId="22811E9C" w14:textId="7CC323F9" w:rsidR="00E65FE1" w:rsidRPr="00C912D0" w:rsidRDefault="00D41402" w:rsidP="00C912D0">
            <w:pPr>
              <w:keepNext/>
              <w:jc w:val="center"/>
              <w:rPr>
                <w:b/>
                <w:sz w:val="16"/>
                <w:szCs w:val="16"/>
                <w:lang w:val="en-GB"/>
              </w:rPr>
            </w:pPr>
            <w:r>
              <w:rPr>
                <w:b/>
                <w:sz w:val="16"/>
                <w:szCs w:val="16"/>
                <w:lang w:val="en-GB"/>
              </w:rPr>
              <w:t>Maison individuelle</w:t>
            </w:r>
          </w:p>
        </w:tc>
        <w:tc>
          <w:tcPr>
            <w:tcW w:w="3850" w:type="dxa"/>
            <w:gridSpan w:val="2"/>
            <w:tcBorders>
              <w:bottom w:val="nil"/>
              <w:right w:val="nil"/>
            </w:tcBorders>
          </w:tcPr>
          <w:p w14:paraId="4E801845" w14:textId="1C99902A" w:rsidR="00E65FE1" w:rsidRPr="00C912D0" w:rsidRDefault="00D41402" w:rsidP="00C912D0">
            <w:pPr>
              <w:keepNext/>
              <w:jc w:val="center"/>
              <w:rPr>
                <w:b/>
                <w:sz w:val="16"/>
                <w:szCs w:val="16"/>
                <w:lang w:val="en-GB"/>
              </w:rPr>
            </w:pPr>
            <w:r>
              <w:rPr>
                <w:b/>
                <w:sz w:val="16"/>
                <w:szCs w:val="16"/>
                <w:lang w:val="en-GB"/>
              </w:rPr>
              <w:t>Logement collectif</w:t>
            </w:r>
          </w:p>
        </w:tc>
      </w:tr>
      <w:tr w:rsidR="00E65FE1" w:rsidRPr="005771E8" w14:paraId="451E01E8" w14:textId="77777777" w:rsidTr="005771E8">
        <w:tc>
          <w:tcPr>
            <w:tcW w:w="1924" w:type="dxa"/>
            <w:tcBorders>
              <w:top w:val="nil"/>
              <w:left w:val="nil"/>
              <w:bottom w:val="single" w:sz="4" w:space="0" w:color="auto"/>
            </w:tcBorders>
          </w:tcPr>
          <w:p w14:paraId="7EEA4AC1" w14:textId="77777777" w:rsidR="00E65FE1" w:rsidRPr="00C912D0" w:rsidRDefault="00E65FE1" w:rsidP="00C912D0">
            <w:pPr>
              <w:keepNext/>
              <w:rPr>
                <w:sz w:val="16"/>
                <w:szCs w:val="16"/>
                <w:lang w:val="en-GB"/>
              </w:rPr>
            </w:pPr>
          </w:p>
        </w:tc>
        <w:tc>
          <w:tcPr>
            <w:tcW w:w="1924" w:type="dxa"/>
            <w:tcBorders>
              <w:top w:val="nil"/>
              <w:bottom w:val="single" w:sz="4" w:space="0" w:color="auto"/>
              <w:right w:val="nil"/>
            </w:tcBorders>
          </w:tcPr>
          <w:p w14:paraId="7D42BFDA" w14:textId="5A474B0C" w:rsidR="00E65FE1" w:rsidRPr="00C912D0" w:rsidRDefault="00D41402" w:rsidP="00C912D0">
            <w:pPr>
              <w:keepNext/>
              <w:jc w:val="center"/>
              <w:rPr>
                <w:b/>
                <w:sz w:val="16"/>
                <w:szCs w:val="16"/>
                <w:lang w:val="en-GB"/>
              </w:rPr>
            </w:pPr>
            <w:r>
              <w:rPr>
                <w:b/>
                <w:sz w:val="16"/>
                <w:szCs w:val="16"/>
                <w:lang w:val="en-GB"/>
              </w:rPr>
              <w:t>BBC</w:t>
            </w:r>
          </w:p>
        </w:tc>
        <w:tc>
          <w:tcPr>
            <w:tcW w:w="1924" w:type="dxa"/>
            <w:tcBorders>
              <w:top w:val="nil"/>
              <w:left w:val="nil"/>
              <w:bottom w:val="single" w:sz="4" w:space="0" w:color="auto"/>
            </w:tcBorders>
          </w:tcPr>
          <w:p w14:paraId="04C70436" w14:textId="5BF4AEC3" w:rsidR="00E65FE1" w:rsidRPr="00C912D0" w:rsidRDefault="00D41402" w:rsidP="00C912D0">
            <w:pPr>
              <w:keepNext/>
              <w:jc w:val="center"/>
              <w:rPr>
                <w:b/>
                <w:sz w:val="16"/>
                <w:szCs w:val="16"/>
                <w:lang w:val="en-GB"/>
              </w:rPr>
            </w:pPr>
            <w:r>
              <w:rPr>
                <w:b/>
                <w:sz w:val="16"/>
                <w:szCs w:val="16"/>
                <w:lang w:val="en-GB"/>
              </w:rPr>
              <w:t>BEPOS</w:t>
            </w:r>
          </w:p>
        </w:tc>
        <w:tc>
          <w:tcPr>
            <w:tcW w:w="1925" w:type="dxa"/>
            <w:tcBorders>
              <w:top w:val="nil"/>
              <w:bottom w:val="single" w:sz="4" w:space="0" w:color="auto"/>
              <w:right w:val="nil"/>
            </w:tcBorders>
          </w:tcPr>
          <w:p w14:paraId="61F94263" w14:textId="1FBC431E" w:rsidR="00E65FE1" w:rsidRPr="00C912D0" w:rsidRDefault="00D41402" w:rsidP="00C912D0">
            <w:pPr>
              <w:keepNext/>
              <w:jc w:val="center"/>
              <w:rPr>
                <w:b/>
                <w:sz w:val="16"/>
                <w:szCs w:val="16"/>
                <w:lang w:val="en-GB"/>
              </w:rPr>
            </w:pPr>
            <w:r>
              <w:rPr>
                <w:b/>
                <w:sz w:val="16"/>
                <w:szCs w:val="16"/>
                <w:lang w:val="en-GB"/>
              </w:rPr>
              <w:t>BBC</w:t>
            </w:r>
          </w:p>
        </w:tc>
        <w:tc>
          <w:tcPr>
            <w:tcW w:w="1925" w:type="dxa"/>
            <w:tcBorders>
              <w:top w:val="nil"/>
              <w:left w:val="nil"/>
              <w:bottom w:val="single" w:sz="4" w:space="0" w:color="auto"/>
              <w:right w:val="nil"/>
            </w:tcBorders>
          </w:tcPr>
          <w:p w14:paraId="3274C7B4" w14:textId="3BC5C240" w:rsidR="00E65FE1" w:rsidRPr="00C912D0" w:rsidRDefault="00D41402" w:rsidP="00C912D0">
            <w:pPr>
              <w:keepNext/>
              <w:jc w:val="center"/>
              <w:rPr>
                <w:b/>
                <w:sz w:val="16"/>
                <w:szCs w:val="16"/>
                <w:lang w:val="en-GB"/>
              </w:rPr>
            </w:pPr>
            <w:r>
              <w:rPr>
                <w:b/>
                <w:sz w:val="16"/>
                <w:szCs w:val="16"/>
                <w:lang w:val="en-GB"/>
              </w:rPr>
              <w:t>BEPOS</w:t>
            </w:r>
          </w:p>
        </w:tc>
      </w:tr>
      <w:tr w:rsidR="00E65FE1" w:rsidRPr="005771E8" w14:paraId="6057319F" w14:textId="77777777" w:rsidTr="005771E8">
        <w:tc>
          <w:tcPr>
            <w:tcW w:w="1924" w:type="dxa"/>
            <w:tcBorders>
              <w:left w:val="nil"/>
              <w:bottom w:val="nil"/>
            </w:tcBorders>
          </w:tcPr>
          <w:p w14:paraId="2B3BFFFE" w14:textId="60F1D64B" w:rsidR="00E65FE1" w:rsidRPr="00C912D0" w:rsidRDefault="009764F1" w:rsidP="00C912D0">
            <w:pPr>
              <w:keepNext/>
              <w:rPr>
                <w:b/>
                <w:sz w:val="16"/>
                <w:szCs w:val="16"/>
                <w:lang w:val="en-GB"/>
              </w:rPr>
            </w:pPr>
            <w:r>
              <w:rPr>
                <w:b/>
                <w:sz w:val="16"/>
                <w:szCs w:val="16"/>
                <w:lang w:val="en-GB"/>
              </w:rPr>
              <w:t>Electricité</w:t>
            </w:r>
          </w:p>
        </w:tc>
        <w:tc>
          <w:tcPr>
            <w:tcW w:w="1924" w:type="dxa"/>
            <w:tcBorders>
              <w:bottom w:val="nil"/>
              <w:right w:val="nil"/>
            </w:tcBorders>
          </w:tcPr>
          <w:p w14:paraId="37D87D87" w14:textId="77777777" w:rsidR="00E65FE1" w:rsidRPr="00C912D0" w:rsidRDefault="00E65FE1" w:rsidP="00C912D0">
            <w:pPr>
              <w:keepNext/>
              <w:jc w:val="center"/>
              <w:rPr>
                <w:sz w:val="16"/>
                <w:szCs w:val="16"/>
                <w:lang w:val="en-GB"/>
              </w:rPr>
            </w:pPr>
            <w:r w:rsidRPr="00C912D0">
              <w:rPr>
                <w:sz w:val="16"/>
                <w:szCs w:val="16"/>
                <w:lang w:val="en-GB"/>
              </w:rPr>
              <w:t>979</w:t>
            </w:r>
          </w:p>
        </w:tc>
        <w:tc>
          <w:tcPr>
            <w:tcW w:w="1924" w:type="dxa"/>
            <w:tcBorders>
              <w:left w:val="nil"/>
              <w:bottom w:val="nil"/>
            </w:tcBorders>
          </w:tcPr>
          <w:p w14:paraId="07547E1C" w14:textId="3CC7E575"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112</w:t>
            </w:r>
          </w:p>
        </w:tc>
        <w:tc>
          <w:tcPr>
            <w:tcW w:w="1925" w:type="dxa"/>
            <w:tcBorders>
              <w:bottom w:val="nil"/>
              <w:right w:val="nil"/>
            </w:tcBorders>
          </w:tcPr>
          <w:p w14:paraId="4F76B863" w14:textId="1F96A9F0"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199</w:t>
            </w:r>
          </w:p>
        </w:tc>
        <w:tc>
          <w:tcPr>
            <w:tcW w:w="1925" w:type="dxa"/>
            <w:tcBorders>
              <w:left w:val="nil"/>
              <w:bottom w:val="nil"/>
              <w:right w:val="nil"/>
            </w:tcBorders>
          </w:tcPr>
          <w:p w14:paraId="188C7AFE" w14:textId="547BBA4A"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308</w:t>
            </w:r>
          </w:p>
        </w:tc>
      </w:tr>
      <w:tr w:rsidR="00E65FE1" w:rsidRPr="005771E8" w14:paraId="7CEA4152" w14:textId="77777777" w:rsidTr="005771E8">
        <w:tc>
          <w:tcPr>
            <w:tcW w:w="1924" w:type="dxa"/>
            <w:tcBorders>
              <w:top w:val="nil"/>
              <w:left w:val="nil"/>
              <w:bottom w:val="nil"/>
            </w:tcBorders>
          </w:tcPr>
          <w:p w14:paraId="0C178851" w14:textId="2BBBEF2A" w:rsidR="00E65FE1" w:rsidRPr="00C912D0" w:rsidRDefault="009764F1" w:rsidP="00C912D0">
            <w:pPr>
              <w:keepNext/>
              <w:rPr>
                <w:b/>
                <w:sz w:val="16"/>
                <w:szCs w:val="16"/>
                <w:lang w:val="en-GB"/>
              </w:rPr>
            </w:pPr>
            <w:r>
              <w:rPr>
                <w:b/>
                <w:sz w:val="16"/>
                <w:szCs w:val="16"/>
                <w:lang w:val="en-GB"/>
              </w:rPr>
              <w:t>Gaz naturel</w:t>
            </w:r>
          </w:p>
        </w:tc>
        <w:tc>
          <w:tcPr>
            <w:tcW w:w="1924" w:type="dxa"/>
            <w:tcBorders>
              <w:top w:val="nil"/>
              <w:bottom w:val="nil"/>
              <w:right w:val="nil"/>
            </w:tcBorders>
          </w:tcPr>
          <w:p w14:paraId="7DD53FF2" w14:textId="77222026"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032</w:t>
            </w:r>
          </w:p>
        </w:tc>
        <w:tc>
          <w:tcPr>
            <w:tcW w:w="1924" w:type="dxa"/>
            <w:tcBorders>
              <w:top w:val="nil"/>
              <w:left w:val="nil"/>
              <w:bottom w:val="nil"/>
            </w:tcBorders>
          </w:tcPr>
          <w:p w14:paraId="790333C7" w14:textId="4FB24AE0"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059</w:t>
            </w:r>
          </w:p>
        </w:tc>
        <w:tc>
          <w:tcPr>
            <w:tcW w:w="1925" w:type="dxa"/>
            <w:tcBorders>
              <w:top w:val="nil"/>
              <w:bottom w:val="nil"/>
              <w:right w:val="nil"/>
            </w:tcBorders>
          </w:tcPr>
          <w:p w14:paraId="0AE645B8" w14:textId="46FC5977"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242</w:t>
            </w:r>
          </w:p>
        </w:tc>
        <w:tc>
          <w:tcPr>
            <w:tcW w:w="1925" w:type="dxa"/>
            <w:tcBorders>
              <w:top w:val="nil"/>
              <w:left w:val="nil"/>
              <w:bottom w:val="nil"/>
              <w:right w:val="nil"/>
            </w:tcBorders>
          </w:tcPr>
          <w:p w14:paraId="3F0D5107" w14:textId="73C0FB50"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253</w:t>
            </w:r>
          </w:p>
        </w:tc>
      </w:tr>
      <w:tr w:rsidR="00E65FE1" w:rsidRPr="005771E8" w14:paraId="5476BEF6" w14:textId="77777777" w:rsidTr="005771E8">
        <w:tc>
          <w:tcPr>
            <w:tcW w:w="1924" w:type="dxa"/>
            <w:tcBorders>
              <w:top w:val="nil"/>
              <w:left w:val="nil"/>
              <w:bottom w:val="nil"/>
            </w:tcBorders>
          </w:tcPr>
          <w:p w14:paraId="41D8E771" w14:textId="2773BE72" w:rsidR="00E65FE1" w:rsidRPr="00C912D0" w:rsidRDefault="009764F1" w:rsidP="00C912D0">
            <w:pPr>
              <w:keepNext/>
              <w:rPr>
                <w:b/>
                <w:sz w:val="16"/>
                <w:szCs w:val="16"/>
                <w:lang w:val="en-GB"/>
              </w:rPr>
            </w:pPr>
            <w:r>
              <w:rPr>
                <w:b/>
                <w:sz w:val="16"/>
                <w:szCs w:val="16"/>
                <w:lang w:val="en-GB"/>
              </w:rPr>
              <w:t>Fioul domestique</w:t>
            </w:r>
          </w:p>
        </w:tc>
        <w:tc>
          <w:tcPr>
            <w:tcW w:w="1924" w:type="dxa"/>
            <w:tcBorders>
              <w:top w:val="nil"/>
              <w:bottom w:val="nil"/>
              <w:right w:val="nil"/>
            </w:tcBorders>
          </w:tcPr>
          <w:p w14:paraId="3933AF3F" w14:textId="470EDB29"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032</w:t>
            </w:r>
          </w:p>
        </w:tc>
        <w:tc>
          <w:tcPr>
            <w:tcW w:w="1924" w:type="dxa"/>
            <w:tcBorders>
              <w:top w:val="nil"/>
              <w:left w:val="nil"/>
              <w:bottom w:val="nil"/>
            </w:tcBorders>
          </w:tcPr>
          <w:p w14:paraId="0ED6CB86" w14:textId="6A3615CD"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059</w:t>
            </w:r>
          </w:p>
        </w:tc>
        <w:tc>
          <w:tcPr>
            <w:tcW w:w="1925" w:type="dxa"/>
            <w:tcBorders>
              <w:top w:val="nil"/>
              <w:bottom w:val="nil"/>
              <w:right w:val="nil"/>
            </w:tcBorders>
          </w:tcPr>
          <w:p w14:paraId="614A79AB" w14:textId="746FB218"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242</w:t>
            </w:r>
          </w:p>
        </w:tc>
        <w:tc>
          <w:tcPr>
            <w:tcW w:w="1925" w:type="dxa"/>
            <w:tcBorders>
              <w:top w:val="nil"/>
              <w:left w:val="nil"/>
              <w:bottom w:val="nil"/>
              <w:right w:val="nil"/>
            </w:tcBorders>
          </w:tcPr>
          <w:p w14:paraId="012A727C" w14:textId="15C79636" w:rsidR="00E65FE1" w:rsidRPr="00C912D0" w:rsidRDefault="00E65FE1" w:rsidP="00C912D0">
            <w:pPr>
              <w:keepNext/>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253</w:t>
            </w:r>
          </w:p>
        </w:tc>
      </w:tr>
      <w:tr w:rsidR="00E65FE1" w:rsidRPr="005771E8" w14:paraId="29AAA86E" w14:textId="77777777" w:rsidTr="005771E8">
        <w:tc>
          <w:tcPr>
            <w:tcW w:w="1924" w:type="dxa"/>
            <w:tcBorders>
              <w:top w:val="nil"/>
              <w:left w:val="nil"/>
            </w:tcBorders>
          </w:tcPr>
          <w:p w14:paraId="6A88BAE2" w14:textId="26D009A1" w:rsidR="00E65FE1" w:rsidRPr="00C912D0" w:rsidRDefault="009764F1" w:rsidP="005771E8">
            <w:pPr>
              <w:rPr>
                <w:b/>
                <w:sz w:val="16"/>
                <w:szCs w:val="16"/>
                <w:lang w:val="en-GB"/>
              </w:rPr>
            </w:pPr>
            <w:r>
              <w:rPr>
                <w:b/>
                <w:sz w:val="16"/>
                <w:szCs w:val="16"/>
                <w:lang w:val="en-GB"/>
              </w:rPr>
              <w:t>Bois-énergie</w:t>
            </w:r>
          </w:p>
        </w:tc>
        <w:tc>
          <w:tcPr>
            <w:tcW w:w="1924" w:type="dxa"/>
            <w:tcBorders>
              <w:top w:val="nil"/>
              <w:right w:val="nil"/>
            </w:tcBorders>
          </w:tcPr>
          <w:p w14:paraId="1A765B67" w14:textId="68CAC601" w:rsidR="00E65FE1" w:rsidRPr="00C912D0" w:rsidRDefault="00E65FE1" w:rsidP="005771E8">
            <w:pPr>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094</w:t>
            </w:r>
          </w:p>
        </w:tc>
        <w:tc>
          <w:tcPr>
            <w:tcW w:w="1924" w:type="dxa"/>
            <w:tcBorders>
              <w:top w:val="nil"/>
              <w:left w:val="nil"/>
            </w:tcBorders>
          </w:tcPr>
          <w:p w14:paraId="499D3617" w14:textId="15B7A9F5" w:rsidR="00E65FE1" w:rsidRPr="00C912D0" w:rsidRDefault="00E65FE1" w:rsidP="00E65FE1">
            <w:pPr>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121</w:t>
            </w:r>
          </w:p>
        </w:tc>
        <w:tc>
          <w:tcPr>
            <w:tcW w:w="1925" w:type="dxa"/>
            <w:tcBorders>
              <w:top w:val="nil"/>
              <w:right w:val="nil"/>
            </w:tcBorders>
          </w:tcPr>
          <w:p w14:paraId="2F30E89F" w14:textId="0F42E24A" w:rsidR="00E65FE1" w:rsidRPr="00C912D0" w:rsidRDefault="00E65FE1" w:rsidP="00E65FE1">
            <w:pPr>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323</w:t>
            </w:r>
          </w:p>
        </w:tc>
        <w:tc>
          <w:tcPr>
            <w:tcW w:w="1925" w:type="dxa"/>
            <w:tcBorders>
              <w:top w:val="nil"/>
              <w:left w:val="nil"/>
              <w:right w:val="nil"/>
            </w:tcBorders>
          </w:tcPr>
          <w:p w14:paraId="0258F48E" w14:textId="73FEBBC4" w:rsidR="00E65FE1" w:rsidRPr="00C912D0" w:rsidRDefault="00E65FE1" w:rsidP="005771E8">
            <w:pPr>
              <w:jc w:val="center"/>
              <w:rPr>
                <w:sz w:val="16"/>
                <w:szCs w:val="16"/>
                <w:lang w:val="en-GB"/>
              </w:rPr>
            </w:pPr>
            <w:r w:rsidRPr="00C912D0">
              <w:rPr>
                <w:sz w:val="16"/>
                <w:szCs w:val="16"/>
                <w:lang w:val="en-GB"/>
              </w:rPr>
              <w:t>1</w:t>
            </w:r>
            <w:r w:rsidR="009764F1">
              <w:rPr>
                <w:sz w:val="16"/>
                <w:szCs w:val="16"/>
                <w:lang w:val="en-GB"/>
              </w:rPr>
              <w:t xml:space="preserve"> </w:t>
            </w:r>
            <w:r w:rsidRPr="00C912D0">
              <w:rPr>
                <w:sz w:val="16"/>
                <w:szCs w:val="16"/>
                <w:lang w:val="en-GB"/>
              </w:rPr>
              <w:t>350</w:t>
            </w:r>
          </w:p>
        </w:tc>
      </w:tr>
    </w:tbl>
    <w:p w14:paraId="130C4A53" w14:textId="77777777" w:rsidR="00C072E8" w:rsidRPr="00C912D0" w:rsidRDefault="00E65FE1" w:rsidP="00E844C7">
      <w:pPr>
        <w:rPr>
          <w:lang w:val="en-GB"/>
        </w:rPr>
      </w:pPr>
      <w:r w:rsidRPr="00C912D0">
        <w:rPr>
          <w:lang w:val="en-GB"/>
        </w:rPr>
        <w:t xml:space="preserve"> </w:t>
      </w:r>
    </w:p>
    <w:p w14:paraId="598C0BC5" w14:textId="354C34A0" w:rsidR="00436E4D" w:rsidRPr="00C912D0" w:rsidRDefault="00D714C6" w:rsidP="00C641B8">
      <w:pPr>
        <w:pStyle w:val="Titre2"/>
        <w:rPr>
          <w:lang w:val="en-GB"/>
        </w:rPr>
      </w:pPr>
      <w:r>
        <w:rPr>
          <w:lang w:val="en-GB"/>
        </w:rPr>
        <w:t>R</w:t>
      </w:r>
      <w:r w:rsidR="00687CAF">
        <w:rPr>
          <w:lang w:val="en-GB"/>
        </w:rPr>
        <w:t>énovation</w:t>
      </w:r>
      <w:r>
        <w:rPr>
          <w:lang w:val="en-GB"/>
        </w:rPr>
        <w:t xml:space="preserve"> des logements existants</w:t>
      </w:r>
    </w:p>
    <w:p w14:paraId="25A4ECD8" w14:textId="678D7344" w:rsidR="00687CAF" w:rsidRPr="00687CAF" w:rsidRDefault="00687CAF" w:rsidP="00687CAF">
      <w:pPr>
        <w:rPr>
          <w:lang w:val="fr-FR"/>
        </w:rPr>
      </w:pPr>
      <w:r w:rsidRPr="00687CAF">
        <w:rPr>
          <w:lang w:val="fr-FR"/>
        </w:rPr>
        <w:t>Les décisions de rénovation sont prises par les propriétaires</w:t>
      </w:r>
      <w:r w:rsidR="00B05F9E">
        <w:rPr>
          <w:lang w:val="fr-FR"/>
        </w:rPr>
        <w:t xml:space="preserve"> – qu’ils soient occupants ou bailleurs du parc privé ou social. </w:t>
      </w:r>
      <w:r w:rsidRPr="00687CAF">
        <w:rPr>
          <w:lang w:val="fr-FR"/>
        </w:rPr>
        <w:t xml:space="preserve">Pour un logement </w:t>
      </w:r>
      <w:r w:rsidR="00660D70">
        <w:rPr>
          <w:lang w:val="fr-FR"/>
        </w:rPr>
        <w:t>d’étiquette de départ</w:t>
      </w:r>
      <w:r w:rsidRPr="00687CAF">
        <w:rPr>
          <w:lang w:val="fr-FR"/>
        </w:rPr>
        <w:t xml:space="preserve"> </w:t>
      </w:r>
      <w:r w:rsidRPr="005E0E66">
        <w:rPr>
          <w:i/>
          <w:lang w:val="fr-FR"/>
        </w:rPr>
        <w:t>i</w:t>
      </w:r>
      <w:r w:rsidRPr="00687CAF">
        <w:rPr>
          <w:lang w:val="fr-FR"/>
        </w:rPr>
        <w:t xml:space="preserve">, </w:t>
      </w:r>
      <w:r w:rsidR="00B05F9E">
        <w:rPr>
          <w:lang w:val="fr-FR"/>
        </w:rPr>
        <w:t>les décisions opèrent sur deux marges :</w:t>
      </w:r>
    </w:p>
    <w:p w14:paraId="25216540" w14:textId="12E0B820" w:rsidR="00687CAF" w:rsidRDefault="00687CAF" w:rsidP="00687CAF">
      <w:pPr>
        <w:pStyle w:val="Paragraphedeliste"/>
        <w:numPr>
          <w:ilvl w:val="0"/>
          <w:numId w:val="15"/>
        </w:numPr>
        <w:rPr>
          <w:lang w:val="fr-FR"/>
        </w:rPr>
      </w:pPr>
      <w:r w:rsidRPr="005E0E66">
        <w:rPr>
          <w:i/>
          <w:lang w:val="fr-FR"/>
        </w:rPr>
        <w:t>Marge intensive</w:t>
      </w:r>
      <w:r w:rsidRPr="00687CAF">
        <w:rPr>
          <w:lang w:val="fr-FR"/>
        </w:rPr>
        <w:t xml:space="preserve"> : sélection d'une étiquette finale </w:t>
      </w:r>
      <w:r w:rsidRPr="005E0E66">
        <w:rPr>
          <w:i/>
          <w:lang w:val="fr-FR"/>
        </w:rPr>
        <w:t>f</w:t>
      </w:r>
      <w:r w:rsidRPr="00687CAF">
        <w:rPr>
          <w:lang w:val="fr-FR"/>
        </w:rPr>
        <w:t xml:space="preserve"> parmi les étiquettes {</w:t>
      </w:r>
      <w:r w:rsidRPr="005E0E66">
        <w:rPr>
          <w:i/>
          <w:lang w:val="fr-FR"/>
        </w:rPr>
        <w:t>i</w:t>
      </w:r>
      <w:r w:rsidRPr="00687CAF">
        <w:rPr>
          <w:lang w:val="fr-FR"/>
        </w:rPr>
        <w:t>+1,...</w:t>
      </w:r>
      <w:proofErr w:type="gramStart"/>
      <w:r w:rsidRPr="00687CAF">
        <w:rPr>
          <w:lang w:val="fr-FR"/>
        </w:rPr>
        <w:t>,A</w:t>
      </w:r>
      <w:proofErr w:type="gramEnd"/>
      <w:r w:rsidRPr="00687CAF">
        <w:rPr>
          <w:lang w:val="fr-FR"/>
        </w:rPr>
        <w:t xml:space="preserve">}. Ce processus est </w:t>
      </w:r>
      <w:r w:rsidR="00031EDE">
        <w:rPr>
          <w:lang w:val="fr-FR"/>
        </w:rPr>
        <w:t>similaire</w:t>
      </w:r>
      <w:r w:rsidRPr="00687CAF">
        <w:rPr>
          <w:lang w:val="fr-FR"/>
        </w:rPr>
        <w:t xml:space="preserve"> à celui </w:t>
      </w:r>
      <w:r w:rsidR="00031EDE">
        <w:rPr>
          <w:lang w:val="fr-FR"/>
        </w:rPr>
        <w:t>qui régit la construction neuve</w:t>
      </w:r>
      <w:r w:rsidRPr="00687CAF">
        <w:rPr>
          <w:lang w:val="fr-FR"/>
        </w:rPr>
        <w:t xml:space="preserve">, </w:t>
      </w:r>
      <w:r w:rsidR="00031EDE">
        <w:rPr>
          <w:lang w:val="fr-FR"/>
        </w:rPr>
        <w:t xml:space="preserve">avec des </w:t>
      </w:r>
      <w:r w:rsidRPr="00687CAF">
        <w:rPr>
          <w:lang w:val="fr-FR"/>
        </w:rPr>
        <w:t>part</w:t>
      </w:r>
      <w:r w:rsidR="00031EDE">
        <w:rPr>
          <w:lang w:val="fr-FR"/>
        </w:rPr>
        <w:t>s</w:t>
      </w:r>
      <w:r w:rsidRPr="00687CAF">
        <w:rPr>
          <w:lang w:val="fr-FR"/>
        </w:rPr>
        <w:t xml:space="preserve"> de marché </w:t>
      </w:r>
      <w:r w:rsidR="00031EDE">
        <w:rPr>
          <w:lang w:val="fr-FR"/>
        </w:rPr>
        <w:t>de chaque option liée à son</w:t>
      </w:r>
      <w:r w:rsidRPr="00687CAF">
        <w:rPr>
          <w:lang w:val="fr-FR"/>
        </w:rPr>
        <w:t xml:space="preserve"> coût </w:t>
      </w:r>
      <w:r w:rsidR="00031EDE">
        <w:rPr>
          <w:lang w:val="fr-FR"/>
        </w:rPr>
        <w:t xml:space="preserve">sur le </w:t>
      </w:r>
      <w:r w:rsidRPr="00687CAF">
        <w:rPr>
          <w:lang w:val="fr-FR"/>
        </w:rPr>
        <w:t xml:space="preserve">cycle de vie </w:t>
      </w:r>
      <w:r w:rsidR="00031EDE">
        <w:rPr>
          <w:lang w:val="fr-FR"/>
        </w:rPr>
        <w:t>par une fonction de choix discret</w:t>
      </w:r>
      <w:r w:rsidRPr="00687CAF">
        <w:rPr>
          <w:lang w:val="fr-FR"/>
        </w:rPr>
        <w:t xml:space="preserve">. Il </w:t>
      </w:r>
      <w:r w:rsidR="00EE251F">
        <w:rPr>
          <w:lang w:val="fr-FR"/>
        </w:rPr>
        <w:t xml:space="preserve">présente </w:t>
      </w:r>
      <w:r w:rsidRPr="00687CAF">
        <w:rPr>
          <w:lang w:val="fr-FR"/>
        </w:rPr>
        <w:t xml:space="preserve">toutefois </w:t>
      </w:r>
      <w:r w:rsidR="00EE251F">
        <w:rPr>
          <w:lang w:val="fr-FR"/>
        </w:rPr>
        <w:t>quelques sophistications supplémentaires</w:t>
      </w:r>
      <w:r w:rsidRPr="00687CAF">
        <w:rPr>
          <w:lang w:val="fr-FR"/>
        </w:rPr>
        <w:t xml:space="preserve">. </w:t>
      </w:r>
      <w:r w:rsidR="00917A66">
        <w:rPr>
          <w:lang w:val="fr-FR"/>
        </w:rPr>
        <w:t xml:space="preserve">D’abord, des </w:t>
      </w:r>
      <w:r w:rsidR="00917A66" w:rsidRPr="00687CAF">
        <w:rPr>
          <w:lang w:val="fr-FR"/>
        </w:rPr>
        <w:t>taux d</w:t>
      </w:r>
      <w:r w:rsidR="00917A66">
        <w:rPr>
          <w:lang w:val="fr-FR"/>
        </w:rPr>
        <w:t>’</w:t>
      </w:r>
      <w:r w:rsidR="00917A66" w:rsidRPr="00687CAF">
        <w:rPr>
          <w:lang w:val="fr-FR"/>
        </w:rPr>
        <w:t xml:space="preserve">actualisation </w:t>
      </w:r>
      <w:r w:rsidR="00917A66">
        <w:rPr>
          <w:lang w:val="fr-FR"/>
        </w:rPr>
        <w:t xml:space="preserve">négativement liés au revenu permettent de représenter les </w:t>
      </w:r>
      <w:r w:rsidRPr="00687CAF">
        <w:rPr>
          <w:lang w:val="fr-FR"/>
        </w:rPr>
        <w:t xml:space="preserve">contraintes de crédit hétérogènes </w:t>
      </w:r>
      <w:r w:rsidR="00917A66">
        <w:rPr>
          <w:lang w:val="fr-FR"/>
        </w:rPr>
        <w:t xml:space="preserve">auxquelles font face les ménages </w:t>
      </w:r>
      <w:r w:rsidR="00D96D8D">
        <w:rPr>
          <w:lang w:val="fr-FR"/>
        </w:rPr>
        <w:t>(T</w:t>
      </w:r>
      <w:r w:rsidRPr="00687CAF">
        <w:rPr>
          <w:lang w:val="fr-FR"/>
        </w:rPr>
        <w:t xml:space="preserve">ableau 2). </w:t>
      </w:r>
      <w:r w:rsidR="00657742">
        <w:rPr>
          <w:lang w:val="fr-FR"/>
        </w:rPr>
        <w:t xml:space="preserve">Ensuite, </w:t>
      </w:r>
      <w:r w:rsidRPr="00687CAF">
        <w:rPr>
          <w:lang w:val="fr-FR"/>
        </w:rPr>
        <w:t xml:space="preserve">les </w:t>
      </w:r>
      <w:r w:rsidR="00657742">
        <w:rPr>
          <w:lang w:val="fr-FR"/>
        </w:rPr>
        <w:t xml:space="preserve">difficultés </w:t>
      </w:r>
      <w:r w:rsidRPr="00687CAF">
        <w:rPr>
          <w:lang w:val="fr-FR"/>
        </w:rPr>
        <w:t xml:space="preserve">inhérentes à la </w:t>
      </w:r>
      <w:r w:rsidR="00657742">
        <w:rPr>
          <w:lang w:val="fr-FR"/>
        </w:rPr>
        <w:t>délibération en copropriété</w:t>
      </w:r>
      <w:r w:rsidRPr="00687CAF">
        <w:rPr>
          <w:lang w:val="fr-FR"/>
        </w:rPr>
        <w:t xml:space="preserve"> </w:t>
      </w:r>
      <w:r w:rsidR="00657742">
        <w:rPr>
          <w:lang w:val="fr-FR"/>
        </w:rPr>
        <w:t xml:space="preserve">sont </w:t>
      </w:r>
      <w:r w:rsidR="00CE6114">
        <w:rPr>
          <w:lang w:val="fr-FR"/>
        </w:rPr>
        <w:t>représentées</w:t>
      </w:r>
      <w:r w:rsidRPr="00687CAF">
        <w:rPr>
          <w:lang w:val="fr-FR"/>
        </w:rPr>
        <w:t xml:space="preserve"> par des taux d'actualisation plus élevés dans les logements </w:t>
      </w:r>
      <w:r w:rsidR="00657742">
        <w:rPr>
          <w:lang w:val="fr-FR"/>
        </w:rPr>
        <w:t xml:space="preserve">collectifs </w:t>
      </w:r>
      <w:r w:rsidRPr="00687CAF">
        <w:rPr>
          <w:lang w:val="fr-FR"/>
        </w:rPr>
        <w:t xml:space="preserve">que dans les </w:t>
      </w:r>
      <w:r w:rsidR="00657742">
        <w:rPr>
          <w:lang w:val="fr-FR"/>
        </w:rPr>
        <w:t>maisons individuelles</w:t>
      </w:r>
      <w:r w:rsidR="00D96D8D">
        <w:rPr>
          <w:lang w:val="fr-FR"/>
        </w:rPr>
        <w:t xml:space="preserve"> (T</w:t>
      </w:r>
      <w:r w:rsidRPr="00687CAF">
        <w:rPr>
          <w:lang w:val="fr-FR"/>
        </w:rPr>
        <w:t xml:space="preserve">ableau 2). </w:t>
      </w:r>
      <w:r w:rsidR="00D76E70">
        <w:rPr>
          <w:lang w:val="fr-FR"/>
        </w:rPr>
        <w:t>De plus</w:t>
      </w:r>
      <w:r w:rsidRPr="00687CAF">
        <w:rPr>
          <w:lang w:val="fr-FR"/>
        </w:rPr>
        <w:t>, la sous-capitalisation des économies d'énergie dans les loyers se traduit par un horizon d'investissement à court terme de trois ans dans le</w:t>
      </w:r>
      <w:r w:rsidR="00273F74">
        <w:rPr>
          <w:lang w:val="fr-FR"/>
        </w:rPr>
        <w:t xml:space="preserve"> parc locatif privé</w:t>
      </w:r>
      <w:r w:rsidRPr="00687CAF">
        <w:rPr>
          <w:lang w:val="fr-FR"/>
        </w:rPr>
        <w:t xml:space="preserve">, contre 30 ans dans les logements occupés par leur propriétaire et les logements sociaux.  </w:t>
      </w:r>
      <w:r w:rsidR="00D76E70">
        <w:rPr>
          <w:lang w:val="fr-FR"/>
        </w:rPr>
        <w:t>Enfin</w:t>
      </w:r>
      <w:r w:rsidR="00D21E11">
        <w:rPr>
          <w:lang w:val="fr-FR"/>
        </w:rPr>
        <w:t>, d</w:t>
      </w:r>
      <w:r w:rsidRPr="00687CAF">
        <w:rPr>
          <w:lang w:val="fr-FR"/>
        </w:rPr>
        <w:t xml:space="preserve">es résidus sont calibrés en confrontant le modèle aux </w:t>
      </w:r>
      <w:r w:rsidR="00D21E11">
        <w:rPr>
          <w:lang w:val="fr-FR"/>
        </w:rPr>
        <w:t xml:space="preserve">choix de rénovation  </w:t>
      </w:r>
      <w:r w:rsidRPr="00687CAF">
        <w:rPr>
          <w:lang w:val="fr-FR"/>
        </w:rPr>
        <w:t>observés ; ces résidus sont interprétés com</w:t>
      </w:r>
      <w:r w:rsidR="00D21E11">
        <w:rPr>
          <w:lang w:val="fr-FR"/>
        </w:rPr>
        <w:t>me des coûts intangibles, capt</w:t>
      </w:r>
      <w:r w:rsidRPr="00687CAF">
        <w:rPr>
          <w:lang w:val="fr-FR"/>
        </w:rPr>
        <w:t xml:space="preserve">ant, par exemple, </w:t>
      </w:r>
      <w:r w:rsidR="005D44E0">
        <w:rPr>
          <w:lang w:val="fr-FR"/>
        </w:rPr>
        <w:t>l’immobilisation du logement pendant les travaux de rénovation</w:t>
      </w:r>
      <w:r w:rsidRPr="00687CAF">
        <w:rPr>
          <w:lang w:val="fr-FR"/>
        </w:rPr>
        <w:t>.</w:t>
      </w:r>
    </w:p>
    <w:p w14:paraId="11847AEE" w14:textId="52046111" w:rsidR="00687CAF" w:rsidRPr="00687CAF" w:rsidRDefault="00687CAF" w:rsidP="00687CAF">
      <w:pPr>
        <w:pStyle w:val="Paragraphedeliste"/>
        <w:numPr>
          <w:ilvl w:val="0"/>
          <w:numId w:val="15"/>
        </w:numPr>
        <w:rPr>
          <w:lang w:val="fr-FR"/>
        </w:rPr>
      </w:pPr>
      <w:r w:rsidRPr="005E0E66">
        <w:rPr>
          <w:i/>
          <w:lang w:val="fr-FR"/>
        </w:rPr>
        <w:t>Marge extensive</w:t>
      </w:r>
      <w:r w:rsidR="00BD6AB4">
        <w:rPr>
          <w:lang w:val="fr-FR"/>
        </w:rPr>
        <w:t xml:space="preserve"> </w:t>
      </w:r>
      <w:r w:rsidR="00767010">
        <w:rPr>
          <w:lang w:val="fr-FR"/>
        </w:rPr>
        <w:t xml:space="preserve">: l’investisseur </w:t>
      </w:r>
      <w:r w:rsidRPr="00687CAF">
        <w:rPr>
          <w:lang w:val="fr-FR"/>
        </w:rPr>
        <w:t>décide s</w:t>
      </w:r>
      <w:r w:rsidR="00767010">
        <w:rPr>
          <w:lang w:val="fr-FR"/>
        </w:rPr>
        <w:t>’il rénove ou non son logement d’</w:t>
      </w:r>
      <w:r w:rsidRPr="00687CAF">
        <w:rPr>
          <w:lang w:val="fr-FR"/>
        </w:rPr>
        <w:t xml:space="preserve">étiquette </w:t>
      </w:r>
      <w:r w:rsidRPr="005E0E66">
        <w:rPr>
          <w:i/>
          <w:lang w:val="fr-FR"/>
        </w:rPr>
        <w:t>i</w:t>
      </w:r>
      <w:r w:rsidRPr="00687CAF">
        <w:rPr>
          <w:lang w:val="fr-FR"/>
        </w:rPr>
        <w:t xml:space="preserve"> vers une étiquette </w:t>
      </w:r>
      <w:r w:rsidRPr="005E0E66">
        <w:rPr>
          <w:i/>
          <w:lang w:val="fr-FR"/>
        </w:rPr>
        <w:t>f&gt;i</w:t>
      </w:r>
      <w:r w:rsidRPr="00687CAF">
        <w:rPr>
          <w:lang w:val="fr-FR"/>
        </w:rPr>
        <w:t xml:space="preserve"> plus élevée. Cette décision dépend </w:t>
      </w:r>
      <w:r w:rsidR="001A15F5">
        <w:rPr>
          <w:lang w:val="fr-FR"/>
        </w:rPr>
        <w:t>de la valeur actuelle</w:t>
      </w:r>
      <w:r w:rsidR="00767010">
        <w:rPr>
          <w:lang w:val="fr-FR"/>
        </w:rPr>
        <w:t xml:space="preserve"> nette d’</w:t>
      </w:r>
      <w:r w:rsidRPr="00687CAF">
        <w:rPr>
          <w:lang w:val="fr-FR"/>
        </w:rPr>
        <w:t xml:space="preserve">un projet de rénovation moyen, mesurée comme la différence de coût </w:t>
      </w:r>
      <w:r w:rsidR="00875DF9">
        <w:rPr>
          <w:lang w:val="fr-FR"/>
        </w:rPr>
        <w:t>sur le</w:t>
      </w:r>
      <w:r w:rsidRPr="00687CAF">
        <w:rPr>
          <w:lang w:val="fr-FR"/>
        </w:rPr>
        <w:t xml:space="preserve"> cycle de vie entre le statu quo et les différentes options de </w:t>
      </w:r>
      <w:r w:rsidR="00875DF9">
        <w:rPr>
          <w:lang w:val="fr-FR"/>
        </w:rPr>
        <w:t>rénovation</w:t>
      </w:r>
      <w:r w:rsidRPr="00687CAF">
        <w:rPr>
          <w:lang w:val="fr-FR"/>
        </w:rPr>
        <w:t xml:space="preserve"> pondérées par leur part de marché. La correspondance entre la valeur actuelle nette et les </w:t>
      </w:r>
      <w:r w:rsidR="00CB74B8">
        <w:rPr>
          <w:lang w:val="fr-FR"/>
        </w:rPr>
        <w:t xml:space="preserve">effectifs </w:t>
      </w:r>
      <w:r w:rsidRPr="00687CAF">
        <w:rPr>
          <w:lang w:val="fr-FR"/>
        </w:rPr>
        <w:t xml:space="preserve">de rénovation suit une fonction logistique qui </w:t>
      </w:r>
      <w:r w:rsidR="00CB74B8">
        <w:rPr>
          <w:lang w:val="fr-FR"/>
        </w:rPr>
        <w:t>capte</w:t>
      </w:r>
      <w:r w:rsidRPr="00687CAF">
        <w:rPr>
          <w:lang w:val="fr-FR"/>
        </w:rPr>
        <w:t xml:space="preserve"> l</w:t>
      </w:r>
      <w:r w:rsidR="00CB74B8">
        <w:rPr>
          <w:lang w:val="fr-FR"/>
        </w:rPr>
        <w:t>’</w:t>
      </w:r>
      <w:r w:rsidRPr="00687CAF">
        <w:rPr>
          <w:lang w:val="fr-FR"/>
        </w:rPr>
        <w:t xml:space="preserve">hétérogénéité des </w:t>
      </w:r>
      <w:r w:rsidR="00CB74B8">
        <w:rPr>
          <w:lang w:val="fr-FR"/>
        </w:rPr>
        <w:t xml:space="preserve">préférences </w:t>
      </w:r>
      <w:r w:rsidRPr="00687CAF">
        <w:rPr>
          <w:lang w:val="fr-FR"/>
        </w:rPr>
        <w:t>et habitudes de chauffage. Il est calibré par rapport à un objectif de rénovation de 3 % des logements existants en 2012.</w:t>
      </w:r>
    </w:p>
    <w:p w14:paraId="4271F026" w14:textId="0D0CA0EC" w:rsidR="00687CAF" w:rsidRPr="00687CAF" w:rsidRDefault="00214A98" w:rsidP="00687CAF">
      <w:pPr>
        <w:rPr>
          <w:lang w:val="fr-FR"/>
        </w:rPr>
      </w:pPr>
      <w:r>
        <w:rPr>
          <w:lang w:val="fr-FR"/>
        </w:rPr>
        <w:t>C</w:t>
      </w:r>
      <w:r w:rsidR="00687CAF" w:rsidRPr="00687CAF">
        <w:rPr>
          <w:lang w:val="fr-FR"/>
        </w:rPr>
        <w:t xml:space="preserve">es calculs reposent sur des données </w:t>
      </w:r>
      <w:r>
        <w:rPr>
          <w:lang w:val="fr-FR"/>
        </w:rPr>
        <w:t>de</w:t>
      </w:r>
      <w:r w:rsidR="00687CAF" w:rsidRPr="00687CAF">
        <w:rPr>
          <w:lang w:val="fr-FR"/>
        </w:rPr>
        <w:t xml:space="preserve"> coûts de rénovation intrinsèquement difficiles à </w:t>
      </w:r>
      <w:r w:rsidR="00622A38">
        <w:rPr>
          <w:lang w:val="fr-FR"/>
        </w:rPr>
        <w:t>obtenir</w:t>
      </w:r>
      <w:r w:rsidR="00687CAF" w:rsidRPr="00687CAF">
        <w:rPr>
          <w:lang w:val="fr-FR"/>
        </w:rPr>
        <w:t xml:space="preserve">. </w:t>
      </w:r>
      <w:r>
        <w:rPr>
          <w:lang w:val="fr-FR"/>
        </w:rPr>
        <w:t xml:space="preserve">La </w:t>
      </w:r>
      <w:r w:rsidR="00687CAF" w:rsidRPr="00687CAF">
        <w:rPr>
          <w:lang w:val="fr-FR"/>
        </w:rPr>
        <w:t xml:space="preserve">représentation des </w:t>
      </w:r>
      <w:r>
        <w:rPr>
          <w:lang w:val="fr-FR"/>
        </w:rPr>
        <w:t>rénovations</w:t>
      </w:r>
      <w:r w:rsidR="00687CAF" w:rsidRPr="00687CAF">
        <w:rPr>
          <w:lang w:val="fr-FR"/>
        </w:rPr>
        <w:t xml:space="preserve"> énergétique</w:t>
      </w:r>
      <w:r>
        <w:rPr>
          <w:lang w:val="fr-FR"/>
        </w:rPr>
        <w:t>s</w:t>
      </w:r>
      <w:r w:rsidR="00687CAF" w:rsidRPr="00687CAF">
        <w:rPr>
          <w:lang w:val="fr-FR"/>
        </w:rPr>
        <w:t xml:space="preserve"> par </w:t>
      </w:r>
      <w:r>
        <w:rPr>
          <w:lang w:val="fr-FR"/>
        </w:rPr>
        <w:t xml:space="preserve">des sauts de classe d’étiquette du </w:t>
      </w:r>
      <w:r w:rsidR="00CA3302">
        <w:rPr>
          <w:lang w:val="fr-FR"/>
        </w:rPr>
        <w:t>DPE</w:t>
      </w:r>
      <w:r>
        <w:rPr>
          <w:lang w:val="fr-FR"/>
        </w:rPr>
        <w:t xml:space="preserve"> est en effet une abstraction de </w:t>
      </w:r>
      <w:r w:rsidR="00687CAF" w:rsidRPr="00687CAF">
        <w:rPr>
          <w:lang w:val="fr-FR"/>
        </w:rPr>
        <w:t xml:space="preserve">mesures explicites sur </w:t>
      </w:r>
      <w:r>
        <w:rPr>
          <w:lang w:val="fr-FR"/>
        </w:rPr>
        <w:t>l’</w:t>
      </w:r>
      <w:r w:rsidR="00687CAF" w:rsidRPr="00687CAF">
        <w:rPr>
          <w:lang w:val="fr-FR"/>
        </w:rPr>
        <w:t>envel</w:t>
      </w:r>
      <w:r>
        <w:rPr>
          <w:lang w:val="fr-FR"/>
        </w:rPr>
        <w:t>oppe et le système de chauffage</w:t>
      </w:r>
      <w:r w:rsidR="00687CAF" w:rsidRPr="00687CAF">
        <w:rPr>
          <w:lang w:val="fr-FR"/>
        </w:rPr>
        <w:t xml:space="preserve">. </w:t>
      </w:r>
      <w:r w:rsidR="00622A38">
        <w:rPr>
          <w:lang w:val="fr-FR"/>
        </w:rPr>
        <w:t xml:space="preserve">La matrice sur laquelle elle repose est construite à partir d’observations parcellaires, complétées </w:t>
      </w:r>
      <w:r w:rsidR="0056355B">
        <w:rPr>
          <w:lang w:val="fr-FR"/>
        </w:rPr>
        <w:t xml:space="preserve">par </w:t>
      </w:r>
      <w:r w:rsidR="00622A38">
        <w:rPr>
          <w:lang w:val="fr-FR"/>
        </w:rPr>
        <w:t>de</w:t>
      </w:r>
      <w:r w:rsidR="0056355B">
        <w:rPr>
          <w:lang w:val="fr-FR"/>
        </w:rPr>
        <w:t>s</w:t>
      </w:r>
      <w:r w:rsidR="00622A38">
        <w:rPr>
          <w:lang w:val="fr-FR"/>
        </w:rPr>
        <w:t xml:space="preserve"> données interpolées à partir des </w:t>
      </w:r>
      <w:r w:rsidR="00687CAF" w:rsidRPr="00687CAF">
        <w:rPr>
          <w:lang w:val="fr-FR"/>
        </w:rPr>
        <w:t>règles économiques standard</w:t>
      </w:r>
      <w:r w:rsidR="00622A38">
        <w:rPr>
          <w:lang w:val="fr-FR"/>
        </w:rPr>
        <w:t xml:space="preserve"> de rendements décroissants – le coût incrémental de rénover à </w:t>
      </w:r>
      <w:r w:rsidR="00622A38">
        <w:rPr>
          <w:lang w:val="fr-FR"/>
        </w:rPr>
        <w:lastRenderedPageBreak/>
        <w:t xml:space="preserve">un niveau </w:t>
      </w:r>
      <w:r w:rsidR="00622A38" w:rsidRPr="005E0E66">
        <w:rPr>
          <w:i/>
          <w:lang w:val="fr-FR"/>
        </w:rPr>
        <w:t>f</w:t>
      </w:r>
      <w:r w:rsidR="00622A38">
        <w:rPr>
          <w:lang w:val="fr-FR"/>
        </w:rPr>
        <w:t xml:space="preserve">+2 par rapport à un niveau </w:t>
      </w:r>
      <w:r w:rsidR="00622A38" w:rsidRPr="005E0E66">
        <w:rPr>
          <w:i/>
          <w:lang w:val="fr-FR"/>
        </w:rPr>
        <w:t>f</w:t>
      </w:r>
      <w:r w:rsidR="00622A38">
        <w:rPr>
          <w:lang w:val="fr-FR"/>
        </w:rPr>
        <w:t xml:space="preserve">+1 est supérieur au coût incrémental de rénover à un niveau </w:t>
      </w:r>
      <w:r w:rsidR="00622A38" w:rsidRPr="005E0E66">
        <w:rPr>
          <w:i/>
          <w:lang w:val="fr-FR"/>
        </w:rPr>
        <w:t>f</w:t>
      </w:r>
      <w:r w:rsidR="00622A38">
        <w:rPr>
          <w:lang w:val="fr-FR"/>
        </w:rPr>
        <w:t xml:space="preserve">+1 par rapport à un niveau </w:t>
      </w:r>
      <w:r w:rsidR="00622A38" w:rsidRPr="005E0E66">
        <w:rPr>
          <w:i/>
          <w:lang w:val="fr-FR"/>
        </w:rPr>
        <w:t>f</w:t>
      </w:r>
      <w:r w:rsidR="00622A38">
        <w:rPr>
          <w:lang w:val="fr-FR"/>
        </w:rPr>
        <w:t xml:space="preserve"> – et d’économies d’échelle – il </w:t>
      </w:r>
      <w:r w:rsidR="00687CAF" w:rsidRPr="00687CAF">
        <w:rPr>
          <w:lang w:val="fr-FR"/>
        </w:rPr>
        <w:t>est moins coûteux d</w:t>
      </w:r>
      <w:r w:rsidR="00622A38">
        <w:rPr>
          <w:lang w:val="fr-FR"/>
        </w:rPr>
        <w:t>’</w:t>
      </w:r>
      <w:r w:rsidR="00687CAF" w:rsidRPr="00687CAF">
        <w:rPr>
          <w:lang w:val="fr-FR"/>
        </w:rPr>
        <w:t xml:space="preserve">effectuer </w:t>
      </w:r>
      <w:r w:rsidR="00622A38">
        <w:rPr>
          <w:lang w:val="fr-FR"/>
        </w:rPr>
        <w:t>un même saut d’étiquette en une seule fois qu’en plusieurs fois</w:t>
      </w:r>
      <w:r w:rsidR="00687CAF" w:rsidRPr="00687CAF">
        <w:rPr>
          <w:lang w:val="fr-FR"/>
        </w:rPr>
        <w:t xml:space="preserve">. La matrice </w:t>
      </w:r>
      <w:r w:rsidR="00E62B86">
        <w:rPr>
          <w:lang w:val="fr-FR"/>
        </w:rPr>
        <w:t xml:space="preserve">qui en résulte </w:t>
      </w:r>
      <w:r w:rsidR="000453EA">
        <w:rPr>
          <w:lang w:val="fr-FR"/>
        </w:rPr>
        <w:t xml:space="preserve">(Tableau 3) </w:t>
      </w:r>
      <w:r w:rsidR="00E62B86">
        <w:rPr>
          <w:lang w:val="fr-FR"/>
        </w:rPr>
        <w:t xml:space="preserve">présente un </w:t>
      </w:r>
      <w:r w:rsidR="00687CAF" w:rsidRPr="00687CAF">
        <w:rPr>
          <w:lang w:val="fr-FR"/>
        </w:rPr>
        <w:t xml:space="preserve">coût moyen de </w:t>
      </w:r>
      <w:r w:rsidR="00E62B86">
        <w:rPr>
          <w:lang w:val="fr-FR"/>
        </w:rPr>
        <w:t>0,0</w:t>
      </w:r>
      <w:r w:rsidR="00DA6868">
        <w:rPr>
          <w:lang w:val="fr-FR"/>
        </w:rPr>
        <w:t>8</w:t>
      </w:r>
      <w:r w:rsidR="000453EA">
        <w:rPr>
          <w:lang w:val="fr-FR"/>
        </w:rPr>
        <w:t xml:space="preserve"> € par kilowattheure cumulé et actualisé sur l</w:t>
      </w:r>
      <w:r w:rsidR="002E29F4">
        <w:rPr>
          <w:lang w:val="fr-FR"/>
        </w:rPr>
        <w:t>a</w:t>
      </w:r>
      <w:r w:rsidR="000453EA">
        <w:rPr>
          <w:lang w:val="fr-FR"/>
        </w:rPr>
        <w:t xml:space="preserve"> durée de vie.</w:t>
      </w:r>
    </w:p>
    <w:p w14:paraId="6B953F46" w14:textId="46862501" w:rsidR="00873A69" w:rsidRPr="00E74931" w:rsidRDefault="00873A69" w:rsidP="00687CAF">
      <w:pPr>
        <w:pStyle w:val="Lgende"/>
        <w:keepNext/>
        <w:rPr>
          <w:lang w:val="fr-FR"/>
        </w:rPr>
      </w:pPr>
      <w:r w:rsidRPr="00E74931">
        <w:rPr>
          <w:lang w:val="fr-FR"/>
        </w:rPr>
        <w:t>Table</w:t>
      </w:r>
      <w:r w:rsidR="009B761A">
        <w:rPr>
          <w:lang w:val="fr-FR"/>
        </w:rPr>
        <w:t>au</w:t>
      </w:r>
      <w:r w:rsidRPr="00E74931">
        <w:rPr>
          <w:lang w:val="fr-FR"/>
        </w:rPr>
        <w:t xml:space="preserve"> </w:t>
      </w:r>
      <w:r w:rsidR="005771E8" w:rsidRPr="00C912D0">
        <w:rPr>
          <w:lang w:val="en-GB"/>
        </w:rPr>
        <w:fldChar w:fldCharType="begin"/>
      </w:r>
      <w:r w:rsidR="005771E8" w:rsidRPr="00E74931">
        <w:rPr>
          <w:lang w:val="fr-FR"/>
        </w:rPr>
        <w:instrText xml:space="preserve"> SEQ Table \* ARABIC </w:instrText>
      </w:r>
      <w:r w:rsidR="005771E8" w:rsidRPr="00C912D0">
        <w:rPr>
          <w:lang w:val="en-GB"/>
        </w:rPr>
        <w:fldChar w:fldCharType="separate"/>
      </w:r>
      <w:r w:rsidR="00FB5040" w:rsidRPr="00E74931">
        <w:rPr>
          <w:noProof/>
          <w:lang w:val="fr-FR"/>
        </w:rPr>
        <w:t>2</w:t>
      </w:r>
      <w:r w:rsidR="005771E8" w:rsidRPr="00C912D0">
        <w:rPr>
          <w:noProof/>
          <w:lang w:val="en-GB"/>
        </w:rPr>
        <w:fldChar w:fldCharType="end"/>
      </w:r>
      <w:r w:rsidRPr="00E74931">
        <w:rPr>
          <w:lang w:val="fr-FR"/>
        </w:rPr>
        <w:t xml:space="preserve">: </w:t>
      </w:r>
      <w:r w:rsidR="00E74931" w:rsidRPr="00E74931">
        <w:rPr>
          <w:lang w:val="fr-FR"/>
        </w:rPr>
        <w:t xml:space="preserve">Taux d’actualisation, par type </w:t>
      </w:r>
      <w:r w:rsidR="00CB74B8">
        <w:rPr>
          <w:lang w:val="fr-FR"/>
        </w:rPr>
        <w:t>de logement et niveau de revenu</w:t>
      </w:r>
      <w:r w:rsidR="00E74931" w:rsidRPr="00E74931">
        <w:rPr>
          <w:lang w:val="fr-FR"/>
        </w:rPr>
        <w:t xml:space="preserve"> des ménages</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1560"/>
        <w:gridCol w:w="1701"/>
        <w:gridCol w:w="1701"/>
      </w:tblGrid>
      <w:tr w:rsidR="00873A69" w:rsidRPr="005771E8" w14:paraId="48839C60" w14:textId="77777777" w:rsidTr="005771E8">
        <w:trPr>
          <w:trHeight w:val="305"/>
        </w:trPr>
        <w:tc>
          <w:tcPr>
            <w:tcW w:w="2376" w:type="dxa"/>
            <w:tcBorders>
              <w:bottom w:val="single" w:sz="4" w:space="0" w:color="auto"/>
              <w:right w:val="single" w:sz="4" w:space="0" w:color="auto"/>
            </w:tcBorders>
          </w:tcPr>
          <w:p w14:paraId="57A941D6" w14:textId="6381BFB4" w:rsidR="00873A69" w:rsidRPr="00C912D0" w:rsidRDefault="00C32805" w:rsidP="00C912D0">
            <w:pPr>
              <w:pStyle w:val="Corpsdetexte"/>
              <w:keepNext/>
              <w:spacing w:after="0"/>
              <w:jc w:val="center"/>
              <w:rPr>
                <w:b/>
                <w:sz w:val="16"/>
                <w:szCs w:val="16"/>
                <w:lang w:val="en-GB"/>
              </w:rPr>
            </w:pPr>
            <w:r>
              <w:rPr>
                <w:b/>
                <w:sz w:val="16"/>
                <w:szCs w:val="16"/>
                <w:lang w:val="en-GB"/>
              </w:rPr>
              <w:t>Catégorie de revenu</w:t>
            </w:r>
          </w:p>
        </w:tc>
        <w:tc>
          <w:tcPr>
            <w:tcW w:w="1560" w:type="dxa"/>
            <w:tcBorders>
              <w:left w:val="single" w:sz="4" w:space="0" w:color="auto"/>
              <w:bottom w:val="single" w:sz="4" w:space="0" w:color="auto"/>
              <w:right w:val="single" w:sz="4" w:space="0" w:color="auto"/>
            </w:tcBorders>
          </w:tcPr>
          <w:p w14:paraId="134F8DAE" w14:textId="5CDC28B5" w:rsidR="00873A69" w:rsidRPr="00C912D0" w:rsidRDefault="00E74931" w:rsidP="00C912D0">
            <w:pPr>
              <w:pStyle w:val="Corpsdetexte"/>
              <w:keepNext/>
              <w:spacing w:after="0"/>
              <w:jc w:val="center"/>
              <w:rPr>
                <w:b/>
                <w:sz w:val="16"/>
                <w:szCs w:val="16"/>
                <w:lang w:val="en-GB"/>
              </w:rPr>
            </w:pPr>
            <w:r>
              <w:rPr>
                <w:b/>
                <w:sz w:val="16"/>
                <w:szCs w:val="16"/>
                <w:lang w:val="en-GB"/>
              </w:rPr>
              <w:t>Maison individuelle</w:t>
            </w:r>
          </w:p>
        </w:tc>
        <w:tc>
          <w:tcPr>
            <w:tcW w:w="1701" w:type="dxa"/>
            <w:tcBorders>
              <w:left w:val="single" w:sz="4" w:space="0" w:color="auto"/>
              <w:bottom w:val="single" w:sz="4" w:space="0" w:color="auto"/>
              <w:right w:val="single" w:sz="4" w:space="0" w:color="auto"/>
            </w:tcBorders>
          </w:tcPr>
          <w:p w14:paraId="6DFB0501" w14:textId="6DC2DDAA" w:rsidR="00873A69" w:rsidRPr="00C912D0" w:rsidRDefault="00E74931" w:rsidP="00C912D0">
            <w:pPr>
              <w:pStyle w:val="Corpsdetexte"/>
              <w:keepNext/>
              <w:spacing w:after="0"/>
              <w:jc w:val="center"/>
              <w:rPr>
                <w:b/>
                <w:sz w:val="16"/>
                <w:szCs w:val="16"/>
                <w:lang w:val="en-GB"/>
              </w:rPr>
            </w:pPr>
            <w:r>
              <w:rPr>
                <w:b/>
                <w:sz w:val="16"/>
                <w:szCs w:val="16"/>
                <w:lang w:val="en-GB"/>
              </w:rPr>
              <w:t>Logement collectif</w:t>
            </w:r>
          </w:p>
        </w:tc>
        <w:tc>
          <w:tcPr>
            <w:tcW w:w="1701" w:type="dxa"/>
            <w:tcBorders>
              <w:left w:val="single" w:sz="4" w:space="0" w:color="auto"/>
              <w:bottom w:val="single" w:sz="4" w:space="0" w:color="auto"/>
            </w:tcBorders>
          </w:tcPr>
          <w:p w14:paraId="51FBEB6D" w14:textId="2CC564E8" w:rsidR="00873A69" w:rsidRPr="00C912D0" w:rsidRDefault="00E74931" w:rsidP="00C912D0">
            <w:pPr>
              <w:pStyle w:val="Corpsdetexte"/>
              <w:keepNext/>
              <w:spacing w:after="0"/>
              <w:jc w:val="center"/>
              <w:rPr>
                <w:b/>
                <w:sz w:val="16"/>
                <w:szCs w:val="16"/>
                <w:lang w:val="en-GB"/>
              </w:rPr>
            </w:pPr>
            <w:r>
              <w:rPr>
                <w:b/>
                <w:sz w:val="16"/>
                <w:szCs w:val="16"/>
                <w:lang w:val="en-GB"/>
              </w:rPr>
              <w:t>Logement social</w:t>
            </w:r>
          </w:p>
        </w:tc>
      </w:tr>
      <w:tr w:rsidR="00873A69" w:rsidRPr="005771E8" w14:paraId="6476F90D" w14:textId="77777777" w:rsidTr="005771E8">
        <w:trPr>
          <w:trHeight w:val="296"/>
        </w:trPr>
        <w:tc>
          <w:tcPr>
            <w:tcW w:w="2376" w:type="dxa"/>
            <w:tcBorders>
              <w:bottom w:val="nil"/>
              <w:right w:val="single" w:sz="4" w:space="0" w:color="auto"/>
            </w:tcBorders>
          </w:tcPr>
          <w:p w14:paraId="7C12D84D"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C1</w:t>
            </w:r>
          </w:p>
        </w:tc>
        <w:tc>
          <w:tcPr>
            <w:tcW w:w="1560" w:type="dxa"/>
            <w:tcBorders>
              <w:left w:val="single" w:sz="4" w:space="0" w:color="auto"/>
              <w:bottom w:val="nil"/>
              <w:right w:val="single" w:sz="4" w:space="0" w:color="auto"/>
            </w:tcBorders>
          </w:tcPr>
          <w:p w14:paraId="7A010279"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15%</w:t>
            </w:r>
          </w:p>
        </w:tc>
        <w:tc>
          <w:tcPr>
            <w:tcW w:w="1701" w:type="dxa"/>
            <w:tcBorders>
              <w:left w:val="single" w:sz="4" w:space="0" w:color="auto"/>
              <w:bottom w:val="nil"/>
              <w:right w:val="single" w:sz="4" w:space="0" w:color="auto"/>
            </w:tcBorders>
          </w:tcPr>
          <w:p w14:paraId="13C8C995"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37%</w:t>
            </w:r>
          </w:p>
        </w:tc>
        <w:tc>
          <w:tcPr>
            <w:tcW w:w="1701" w:type="dxa"/>
            <w:tcBorders>
              <w:left w:val="single" w:sz="4" w:space="0" w:color="auto"/>
              <w:bottom w:val="nil"/>
            </w:tcBorders>
          </w:tcPr>
          <w:p w14:paraId="18EA02B8"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4%</w:t>
            </w:r>
          </w:p>
        </w:tc>
      </w:tr>
      <w:tr w:rsidR="00873A69" w:rsidRPr="005771E8" w14:paraId="5EC01EFE" w14:textId="77777777" w:rsidTr="005771E8">
        <w:trPr>
          <w:trHeight w:val="296"/>
        </w:trPr>
        <w:tc>
          <w:tcPr>
            <w:tcW w:w="2376" w:type="dxa"/>
            <w:tcBorders>
              <w:top w:val="nil"/>
              <w:bottom w:val="nil"/>
              <w:right w:val="single" w:sz="4" w:space="0" w:color="auto"/>
            </w:tcBorders>
          </w:tcPr>
          <w:p w14:paraId="433D4801"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C2</w:t>
            </w:r>
          </w:p>
        </w:tc>
        <w:tc>
          <w:tcPr>
            <w:tcW w:w="1560" w:type="dxa"/>
            <w:tcBorders>
              <w:top w:val="nil"/>
              <w:left w:val="single" w:sz="4" w:space="0" w:color="auto"/>
              <w:bottom w:val="nil"/>
              <w:right w:val="single" w:sz="4" w:space="0" w:color="auto"/>
            </w:tcBorders>
          </w:tcPr>
          <w:p w14:paraId="210037DD"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10%</w:t>
            </w:r>
          </w:p>
        </w:tc>
        <w:tc>
          <w:tcPr>
            <w:tcW w:w="1701" w:type="dxa"/>
            <w:tcBorders>
              <w:top w:val="nil"/>
              <w:left w:val="single" w:sz="4" w:space="0" w:color="auto"/>
              <w:bottom w:val="nil"/>
              <w:right w:val="single" w:sz="4" w:space="0" w:color="auto"/>
            </w:tcBorders>
          </w:tcPr>
          <w:p w14:paraId="206BE989"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25%</w:t>
            </w:r>
          </w:p>
        </w:tc>
        <w:tc>
          <w:tcPr>
            <w:tcW w:w="1701" w:type="dxa"/>
            <w:tcBorders>
              <w:top w:val="nil"/>
              <w:left w:val="single" w:sz="4" w:space="0" w:color="auto"/>
              <w:bottom w:val="nil"/>
            </w:tcBorders>
          </w:tcPr>
          <w:p w14:paraId="66EAF4D9"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4%</w:t>
            </w:r>
          </w:p>
        </w:tc>
      </w:tr>
      <w:tr w:rsidR="00873A69" w:rsidRPr="005771E8" w14:paraId="7AFB88DF" w14:textId="77777777" w:rsidTr="005771E8">
        <w:trPr>
          <w:trHeight w:val="305"/>
        </w:trPr>
        <w:tc>
          <w:tcPr>
            <w:tcW w:w="2376" w:type="dxa"/>
            <w:tcBorders>
              <w:top w:val="nil"/>
              <w:bottom w:val="nil"/>
              <w:right w:val="single" w:sz="4" w:space="0" w:color="auto"/>
            </w:tcBorders>
          </w:tcPr>
          <w:p w14:paraId="0B71E146"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C3</w:t>
            </w:r>
          </w:p>
        </w:tc>
        <w:tc>
          <w:tcPr>
            <w:tcW w:w="1560" w:type="dxa"/>
            <w:tcBorders>
              <w:top w:val="nil"/>
              <w:left w:val="single" w:sz="4" w:space="0" w:color="auto"/>
              <w:bottom w:val="nil"/>
              <w:right w:val="single" w:sz="4" w:space="0" w:color="auto"/>
            </w:tcBorders>
          </w:tcPr>
          <w:p w14:paraId="2ADBFC98"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7%</w:t>
            </w:r>
          </w:p>
        </w:tc>
        <w:tc>
          <w:tcPr>
            <w:tcW w:w="1701" w:type="dxa"/>
            <w:tcBorders>
              <w:top w:val="nil"/>
              <w:left w:val="single" w:sz="4" w:space="0" w:color="auto"/>
              <w:bottom w:val="nil"/>
              <w:right w:val="single" w:sz="4" w:space="0" w:color="auto"/>
            </w:tcBorders>
          </w:tcPr>
          <w:p w14:paraId="5476159B"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15%</w:t>
            </w:r>
          </w:p>
        </w:tc>
        <w:tc>
          <w:tcPr>
            <w:tcW w:w="1701" w:type="dxa"/>
            <w:tcBorders>
              <w:top w:val="nil"/>
              <w:left w:val="single" w:sz="4" w:space="0" w:color="auto"/>
              <w:bottom w:val="nil"/>
            </w:tcBorders>
          </w:tcPr>
          <w:p w14:paraId="5127B299"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4%</w:t>
            </w:r>
          </w:p>
        </w:tc>
      </w:tr>
      <w:tr w:rsidR="00873A69" w:rsidRPr="005771E8" w14:paraId="6B2B63E8" w14:textId="77777777" w:rsidTr="005771E8">
        <w:trPr>
          <w:trHeight w:val="296"/>
        </w:trPr>
        <w:tc>
          <w:tcPr>
            <w:tcW w:w="2376" w:type="dxa"/>
            <w:tcBorders>
              <w:top w:val="nil"/>
              <w:bottom w:val="nil"/>
              <w:right w:val="single" w:sz="4" w:space="0" w:color="auto"/>
            </w:tcBorders>
          </w:tcPr>
          <w:p w14:paraId="1EBEC56E"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C4</w:t>
            </w:r>
          </w:p>
        </w:tc>
        <w:tc>
          <w:tcPr>
            <w:tcW w:w="1560" w:type="dxa"/>
            <w:tcBorders>
              <w:top w:val="nil"/>
              <w:left w:val="single" w:sz="4" w:space="0" w:color="auto"/>
              <w:bottom w:val="nil"/>
              <w:right w:val="single" w:sz="4" w:space="0" w:color="auto"/>
            </w:tcBorders>
          </w:tcPr>
          <w:p w14:paraId="17A8CE87"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5%</w:t>
            </w:r>
          </w:p>
        </w:tc>
        <w:tc>
          <w:tcPr>
            <w:tcW w:w="1701" w:type="dxa"/>
            <w:tcBorders>
              <w:top w:val="nil"/>
              <w:left w:val="single" w:sz="4" w:space="0" w:color="auto"/>
              <w:bottom w:val="nil"/>
              <w:right w:val="single" w:sz="4" w:space="0" w:color="auto"/>
            </w:tcBorders>
          </w:tcPr>
          <w:p w14:paraId="4207C20C"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7%</w:t>
            </w:r>
          </w:p>
        </w:tc>
        <w:tc>
          <w:tcPr>
            <w:tcW w:w="1701" w:type="dxa"/>
            <w:tcBorders>
              <w:top w:val="nil"/>
              <w:left w:val="single" w:sz="4" w:space="0" w:color="auto"/>
              <w:bottom w:val="nil"/>
            </w:tcBorders>
          </w:tcPr>
          <w:p w14:paraId="3EAC1842"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4%</w:t>
            </w:r>
          </w:p>
        </w:tc>
      </w:tr>
      <w:tr w:rsidR="00873A69" w:rsidRPr="005771E8" w14:paraId="7E45C6F2" w14:textId="77777777" w:rsidTr="005771E8">
        <w:trPr>
          <w:trHeight w:val="296"/>
        </w:trPr>
        <w:tc>
          <w:tcPr>
            <w:tcW w:w="2376" w:type="dxa"/>
            <w:tcBorders>
              <w:top w:val="nil"/>
              <w:bottom w:val="single" w:sz="4" w:space="0" w:color="auto"/>
              <w:right w:val="single" w:sz="4" w:space="0" w:color="auto"/>
            </w:tcBorders>
          </w:tcPr>
          <w:p w14:paraId="7AA4A381"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C5</w:t>
            </w:r>
          </w:p>
        </w:tc>
        <w:tc>
          <w:tcPr>
            <w:tcW w:w="1560" w:type="dxa"/>
            <w:tcBorders>
              <w:top w:val="nil"/>
              <w:left w:val="single" w:sz="4" w:space="0" w:color="auto"/>
              <w:bottom w:val="single" w:sz="4" w:space="0" w:color="auto"/>
              <w:right w:val="single" w:sz="4" w:space="0" w:color="auto"/>
            </w:tcBorders>
          </w:tcPr>
          <w:p w14:paraId="19217F2E"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4%</w:t>
            </w:r>
          </w:p>
        </w:tc>
        <w:tc>
          <w:tcPr>
            <w:tcW w:w="1701" w:type="dxa"/>
            <w:tcBorders>
              <w:top w:val="nil"/>
              <w:left w:val="single" w:sz="4" w:space="0" w:color="auto"/>
              <w:bottom w:val="single" w:sz="4" w:space="0" w:color="auto"/>
              <w:right w:val="single" w:sz="4" w:space="0" w:color="auto"/>
            </w:tcBorders>
          </w:tcPr>
          <w:p w14:paraId="3518D02B"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5%</w:t>
            </w:r>
          </w:p>
        </w:tc>
        <w:tc>
          <w:tcPr>
            <w:tcW w:w="1701" w:type="dxa"/>
            <w:tcBorders>
              <w:top w:val="nil"/>
              <w:left w:val="single" w:sz="4" w:space="0" w:color="auto"/>
              <w:bottom w:val="single" w:sz="4" w:space="0" w:color="auto"/>
            </w:tcBorders>
          </w:tcPr>
          <w:p w14:paraId="13F6CDE7" w14:textId="77777777" w:rsidR="00873A69" w:rsidRPr="00C912D0" w:rsidRDefault="00873A69" w:rsidP="00C912D0">
            <w:pPr>
              <w:pStyle w:val="Corpsdetexte"/>
              <w:keepNext/>
              <w:spacing w:after="0"/>
              <w:jc w:val="center"/>
              <w:rPr>
                <w:sz w:val="16"/>
                <w:szCs w:val="16"/>
                <w:lang w:val="en-GB"/>
              </w:rPr>
            </w:pPr>
            <w:r w:rsidRPr="00C912D0">
              <w:rPr>
                <w:sz w:val="16"/>
                <w:szCs w:val="16"/>
                <w:lang w:val="en-GB"/>
              </w:rPr>
              <w:t>4%</w:t>
            </w:r>
          </w:p>
        </w:tc>
      </w:tr>
      <w:tr w:rsidR="00873A69" w:rsidRPr="005771E8" w14:paraId="37E07AD0" w14:textId="77777777" w:rsidTr="005771E8">
        <w:trPr>
          <w:trHeight w:val="296"/>
        </w:trPr>
        <w:tc>
          <w:tcPr>
            <w:tcW w:w="2376" w:type="dxa"/>
            <w:tcBorders>
              <w:top w:val="single" w:sz="4" w:space="0" w:color="auto"/>
              <w:right w:val="single" w:sz="4" w:space="0" w:color="auto"/>
            </w:tcBorders>
          </w:tcPr>
          <w:p w14:paraId="55EE1C50" w14:textId="43EFE0B6" w:rsidR="00873A69" w:rsidRPr="00C912D0" w:rsidRDefault="00E74931" w:rsidP="005771E8">
            <w:pPr>
              <w:pStyle w:val="Corpsdetexte"/>
              <w:spacing w:after="0"/>
              <w:jc w:val="center"/>
              <w:rPr>
                <w:b/>
                <w:sz w:val="16"/>
                <w:szCs w:val="16"/>
                <w:lang w:val="en-GB"/>
              </w:rPr>
            </w:pPr>
            <w:r>
              <w:rPr>
                <w:b/>
                <w:sz w:val="16"/>
                <w:szCs w:val="16"/>
                <w:lang w:val="en-GB"/>
              </w:rPr>
              <w:t>Moyenne pondérée</w:t>
            </w:r>
          </w:p>
        </w:tc>
        <w:tc>
          <w:tcPr>
            <w:tcW w:w="1560" w:type="dxa"/>
            <w:tcBorders>
              <w:top w:val="single" w:sz="4" w:space="0" w:color="auto"/>
              <w:left w:val="single" w:sz="4" w:space="0" w:color="auto"/>
              <w:right w:val="single" w:sz="4" w:space="0" w:color="auto"/>
            </w:tcBorders>
          </w:tcPr>
          <w:p w14:paraId="2AC10035" w14:textId="77777777" w:rsidR="00873A69" w:rsidRPr="00C912D0" w:rsidRDefault="00873A69" w:rsidP="005771E8">
            <w:pPr>
              <w:pStyle w:val="Corpsdetexte"/>
              <w:spacing w:after="0"/>
              <w:jc w:val="center"/>
              <w:rPr>
                <w:b/>
                <w:sz w:val="16"/>
                <w:szCs w:val="16"/>
                <w:lang w:val="en-GB"/>
              </w:rPr>
            </w:pPr>
            <w:r w:rsidRPr="00C912D0">
              <w:rPr>
                <w:b/>
                <w:sz w:val="16"/>
                <w:szCs w:val="16"/>
                <w:lang w:val="en-GB"/>
              </w:rPr>
              <w:t>8%</w:t>
            </w:r>
          </w:p>
        </w:tc>
        <w:tc>
          <w:tcPr>
            <w:tcW w:w="1701" w:type="dxa"/>
            <w:tcBorders>
              <w:top w:val="single" w:sz="4" w:space="0" w:color="auto"/>
              <w:left w:val="single" w:sz="4" w:space="0" w:color="auto"/>
              <w:right w:val="single" w:sz="4" w:space="0" w:color="auto"/>
            </w:tcBorders>
          </w:tcPr>
          <w:p w14:paraId="4931AE3F" w14:textId="77777777" w:rsidR="00873A69" w:rsidRPr="00C912D0" w:rsidRDefault="00873A69" w:rsidP="005771E8">
            <w:pPr>
              <w:pStyle w:val="Corpsdetexte"/>
              <w:spacing w:after="0"/>
              <w:jc w:val="center"/>
              <w:rPr>
                <w:b/>
                <w:sz w:val="16"/>
                <w:szCs w:val="16"/>
                <w:lang w:val="en-GB"/>
              </w:rPr>
            </w:pPr>
            <w:r w:rsidRPr="00C912D0">
              <w:rPr>
                <w:b/>
                <w:sz w:val="16"/>
                <w:szCs w:val="16"/>
                <w:lang w:val="en-GB"/>
              </w:rPr>
              <w:t>17%</w:t>
            </w:r>
          </w:p>
        </w:tc>
        <w:tc>
          <w:tcPr>
            <w:tcW w:w="1701" w:type="dxa"/>
            <w:tcBorders>
              <w:top w:val="single" w:sz="4" w:space="0" w:color="auto"/>
              <w:left w:val="single" w:sz="4" w:space="0" w:color="auto"/>
            </w:tcBorders>
          </w:tcPr>
          <w:p w14:paraId="11F67B2F" w14:textId="77777777" w:rsidR="00873A69" w:rsidRPr="00C912D0" w:rsidRDefault="00873A69" w:rsidP="005771E8">
            <w:pPr>
              <w:pStyle w:val="Corpsdetexte"/>
              <w:spacing w:after="0"/>
              <w:jc w:val="center"/>
              <w:rPr>
                <w:b/>
                <w:sz w:val="16"/>
                <w:szCs w:val="16"/>
                <w:lang w:val="en-GB"/>
              </w:rPr>
            </w:pPr>
            <w:r w:rsidRPr="00C912D0">
              <w:rPr>
                <w:b/>
                <w:sz w:val="16"/>
                <w:szCs w:val="16"/>
                <w:lang w:val="en-GB"/>
              </w:rPr>
              <w:t>4%</w:t>
            </w:r>
          </w:p>
        </w:tc>
      </w:tr>
    </w:tbl>
    <w:p w14:paraId="39D45501" w14:textId="77777777" w:rsidR="00873A69" w:rsidRPr="00C912D0" w:rsidRDefault="00873A69" w:rsidP="008C5EC7">
      <w:pPr>
        <w:rPr>
          <w:lang w:val="en-GB"/>
        </w:rPr>
      </w:pPr>
    </w:p>
    <w:p w14:paraId="21CDE03B" w14:textId="05633C07" w:rsidR="00BA098F" w:rsidRPr="009B761A" w:rsidRDefault="00BA098F" w:rsidP="00D15347">
      <w:pPr>
        <w:pStyle w:val="Lgende"/>
        <w:keepNext/>
        <w:rPr>
          <w:lang w:val="fr-FR"/>
        </w:rPr>
      </w:pPr>
      <w:r w:rsidRPr="009B761A">
        <w:rPr>
          <w:lang w:val="fr-FR"/>
        </w:rPr>
        <w:t>Table</w:t>
      </w:r>
      <w:r w:rsidR="009B761A">
        <w:rPr>
          <w:lang w:val="fr-FR"/>
        </w:rPr>
        <w:t>au</w:t>
      </w:r>
      <w:r w:rsidRPr="009B761A">
        <w:rPr>
          <w:lang w:val="fr-FR"/>
        </w:rPr>
        <w:t xml:space="preserve"> </w:t>
      </w:r>
      <w:r w:rsidR="005771E8" w:rsidRPr="00C912D0">
        <w:rPr>
          <w:lang w:val="en-GB"/>
        </w:rPr>
        <w:fldChar w:fldCharType="begin"/>
      </w:r>
      <w:r w:rsidR="005771E8" w:rsidRPr="009B761A">
        <w:rPr>
          <w:lang w:val="fr-FR"/>
        </w:rPr>
        <w:instrText xml:space="preserve"> SEQ Table \* ARABIC </w:instrText>
      </w:r>
      <w:r w:rsidR="005771E8" w:rsidRPr="00C912D0">
        <w:rPr>
          <w:lang w:val="en-GB"/>
        </w:rPr>
        <w:fldChar w:fldCharType="separate"/>
      </w:r>
      <w:r w:rsidR="00FB5040" w:rsidRPr="009B761A">
        <w:rPr>
          <w:noProof/>
          <w:lang w:val="fr-FR"/>
        </w:rPr>
        <w:t>3</w:t>
      </w:r>
      <w:r w:rsidR="005771E8" w:rsidRPr="00C912D0">
        <w:rPr>
          <w:noProof/>
          <w:lang w:val="en-GB"/>
        </w:rPr>
        <w:fldChar w:fldCharType="end"/>
      </w:r>
      <w:r w:rsidRPr="009B761A">
        <w:rPr>
          <w:lang w:val="fr-FR"/>
        </w:rPr>
        <w:t xml:space="preserve">: </w:t>
      </w:r>
      <w:r w:rsidR="009B761A" w:rsidRPr="009B761A">
        <w:rPr>
          <w:lang w:val="fr-FR"/>
        </w:rPr>
        <w:t xml:space="preserve">Coûts de </w:t>
      </w:r>
      <w:r w:rsidR="00A3337F" w:rsidRPr="009B761A">
        <w:rPr>
          <w:lang w:val="fr-FR"/>
        </w:rPr>
        <w:t>rénovation</w:t>
      </w:r>
      <w:r w:rsidR="009B761A" w:rsidRPr="009B761A">
        <w:rPr>
          <w:lang w:val="fr-FR"/>
        </w:rPr>
        <w:t>, en</w:t>
      </w:r>
      <w:r w:rsidRPr="009B761A">
        <w:rPr>
          <w:lang w:val="fr-FR"/>
        </w:rPr>
        <w:t xml:space="preserve"> €/m²</w:t>
      </w:r>
    </w:p>
    <w:tbl>
      <w:tblPr>
        <w:tblStyle w:val="Grilledutableau"/>
        <w:tblW w:w="0" w:type="auto"/>
        <w:tblLook w:val="04A0" w:firstRow="1" w:lastRow="0" w:firstColumn="1" w:lastColumn="0" w:noHBand="0" w:noVBand="1"/>
      </w:tblPr>
      <w:tblGrid>
        <w:gridCol w:w="897"/>
        <w:gridCol w:w="868"/>
        <w:gridCol w:w="611"/>
        <w:gridCol w:w="1127"/>
        <w:gridCol w:w="869"/>
        <w:gridCol w:w="869"/>
        <w:gridCol w:w="869"/>
        <w:gridCol w:w="869"/>
      </w:tblGrid>
      <w:tr w:rsidR="00BA098F" w:rsidRPr="005771E8" w14:paraId="595A265A" w14:textId="77777777" w:rsidTr="005771E8">
        <w:trPr>
          <w:trHeight w:val="327"/>
        </w:trPr>
        <w:tc>
          <w:tcPr>
            <w:tcW w:w="897" w:type="dxa"/>
            <w:tcBorders>
              <w:top w:val="nil"/>
              <w:left w:val="nil"/>
              <w:bottom w:val="nil"/>
              <w:right w:val="nil"/>
            </w:tcBorders>
          </w:tcPr>
          <w:p w14:paraId="721FFB3E" w14:textId="77777777" w:rsidR="00BA098F" w:rsidRPr="009B761A" w:rsidRDefault="00BA098F" w:rsidP="00C912D0">
            <w:pPr>
              <w:pStyle w:val="Corpsdetexte"/>
              <w:keepNext/>
              <w:spacing w:after="0"/>
              <w:jc w:val="both"/>
              <w:rPr>
                <w:b/>
                <w:sz w:val="16"/>
                <w:szCs w:val="16"/>
                <w:lang w:val="fr-FR"/>
              </w:rPr>
            </w:pPr>
          </w:p>
        </w:tc>
        <w:tc>
          <w:tcPr>
            <w:tcW w:w="868" w:type="dxa"/>
            <w:tcBorders>
              <w:top w:val="nil"/>
              <w:left w:val="nil"/>
              <w:bottom w:val="nil"/>
              <w:right w:val="nil"/>
            </w:tcBorders>
          </w:tcPr>
          <w:p w14:paraId="4FF6621F" w14:textId="77777777" w:rsidR="00BA098F" w:rsidRPr="009B761A" w:rsidRDefault="00BA098F" w:rsidP="00C912D0">
            <w:pPr>
              <w:pStyle w:val="Corpsdetexte"/>
              <w:keepNext/>
              <w:spacing w:after="0"/>
              <w:jc w:val="both"/>
              <w:rPr>
                <w:b/>
                <w:sz w:val="16"/>
                <w:szCs w:val="16"/>
                <w:lang w:val="fr-FR"/>
              </w:rPr>
            </w:pPr>
          </w:p>
        </w:tc>
        <w:tc>
          <w:tcPr>
            <w:tcW w:w="5214" w:type="dxa"/>
            <w:gridSpan w:val="6"/>
            <w:tcBorders>
              <w:left w:val="nil"/>
              <w:bottom w:val="single" w:sz="4" w:space="0" w:color="auto"/>
              <w:right w:val="nil"/>
            </w:tcBorders>
          </w:tcPr>
          <w:p w14:paraId="3A1F2EFB" w14:textId="3ED84BC5" w:rsidR="00BA098F" w:rsidRPr="00C912D0" w:rsidRDefault="009B761A" w:rsidP="00C912D0">
            <w:pPr>
              <w:pStyle w:val="Corpsdetexte"/>
              <w:keepNext/>
              <w:spacing w:after="0"/>
              <w:jc w:val="center"/>
              <w:rPr>
                <w:b/>
                <w:sz w:val="16"/>
                <w:szCs w:val="16"/>
                <w:lang w:val="en-GB"/>
              </w:rPr>
            </w:pPr>
            <w:r>
              <w:rPr>
                <w:b/>
                <w:sz w:val="16"/>
                <w:szCs w:val="16"/>
                <w:lang w:val="en-GB"/>
              </w:rPr>
              <w:t>E</w:t>
            </w:r>
            <w:r w:rsidR="00316999">
              <w:rPr>
                <w:b/>
                <w:sz w:val="16"/>
                <w:szCs w:val="16"/>
                <w:lang w:val="en-GB"/>
              </w:rPr>
              <w:t>tiquette</w:t>
            </w:r>
            <w:r>
              <w:rPr>
                <w:b/>
                <w:sz w:val="16"/>
                <w:szCs w:val="16"/>
                <w:lang w:val="en-GB"/>
              </w:rPr>
              <w:t xml:space="preserve"> finale</w:t>
            </w:r>
          </w:p>
        </w:tc>
      </w:tr>
      <w:tr w:rsidR="00BA098F" w:rsidRPr="005771E8" w14:paraId="34A00D34" w14:textId="77777777" w:rsidTr="005771E8">
        <w:trPr>
          <w:trHeight w:val="337"/>
        </w:trPr>
        <w:tc>
          <w:tcPr>
            <w:tcW w:w="897" w:type="dxa"/>
            <w:tcBorders>
              <w:top w:val="nil"/>
              <w:left w:val="nil"/>
              <w:bottom w:val="single" w:sz="4" w:space="0" w:color="auto"/>
              <w:right w:val="nil"/>
            </w:tcBorders>
          </w:tcPr>
          <w:p w14:paraId="727E3C5C" w14:textId="77777777" w:rsidR="00BA098F" w:rsidRPr="00C912D0" w:rsidRDefault="00BA098F" w:rsidP="00C912D0">
            <w:pPr>
              <w:pStyle w:val="Corpsdetexte"/>
              <w:keepNext/>
              <w:spacing w:after="0"/>
              <w:jc w:val="both"/>
              <w:rPr>
                <w:b/>
                <w:sz w:val="16"/>
                <w:szCs w:val="16"/>
                <w:lang w:val="en-GB"/>
              </w:rPr>
            </w:pPr>
          </w:p>
        </w:tc>
        <w:tc>
          <w:tcPr>
            <w:tcW w:w="868" w:type="dxa"/>
            <w:tcBorders>
              <w:top w:val="nil"/>
              <w:left w:val="nil"/>
              <w:bottom w:val="single" w:sz="4" w:space="0" w:color="auto"/>
              <w:right w:val="nil"/>
            </w:tcBorders>
          </w:tcPr>
          <w:p w14:paraId="6FDE8450" w14:textId="77777777" w:rsidR="00BA098F" w:rsidRPr="00C912D0" w:rsidRDefault="00BA098F" w:rsidP="00C912D0">
            <w:pPr>
              <w:keepNext/>
              <w:rPr>
                <w:b/>
                <w:sz w:val="16"/>
                <w:szCs w:val="16"/>
                <w:lang w:val="en-GB"/>
              </w:rPr>
            </w:pPr>
          </w:p>
        </w:tc>
        <w:tc>
          <w:tcPr>
            <w:tcW w:w="611" w:type="dxa"/>
            <w:tcBorders>
              <w:left w:val="nil"/>
              <w:bottom w:val="single" w:sz="4" w:space="0" w:color="auto"/>
              <w:right w:val="nil"/>
            </w:tcBorders>
          </w:tcPr>
          <w:p w14:paraId="4686EAAC" w14:textId="77777777" w:rsidR="00BA098F" w:rsidRPr="00C912D0" w:rsidRDefault="00BA098F" w:rsidP="00C912D0">
            <w:pPr>
              <w:keepNext/>
              <w:rPr>
                <w:b/>
                <w:sz w:val="16"/>
                <w:szCs w:val="16"/>
                <w:lang w:val="en-GB"/>
              </w:rPr>
            </w:pPr>
            <w:r w:rsidRPr="00C912D0">
              <w:rPr>
                <w:b/>
                <w:sz w:val="16"/>
                <w:szCs w:val="16"/>
                <w:lang w:val="en-GB"/>
              </w:rPr>
              <w:t>F</w:t>
            </w:r>
          </w:p>
        </w:tc>
        <w:tc>
          <w:tcPr>
            <w:tcW w:w="1127" w:type="dxa"/>
            <w:tcBorders>
              <w:left w:val="nil"/>
              <w:bottom w:val="single" w:sz="4" w:space="0" w:color="auto"/>
              <w:right w:val="nil"/>
            </w:tcBorders>
          </w:tcPr>
          <w:p w14:paraId="40E59AD5" w14:textId="77777777" w:rsidR="00BA098F" w:rsidRPr="00C912D0" w:rsidRDefault="00BA098F" w:rsidP="00C912D0">
            <w:pPr>
              <w:keepNext/>
              <w:jc w:val="center"/>
              <w:rPr>
                <w:b/>
                <w:sz w:val="16"/>
                <w:szCs w:val="16"/>
                <w:lang w:val="en-GB"/>
              </w:rPr>
            </w:pPr>
            <w:r w:rsidRPr="00C912D0">
              <w:rPr>
                <w:b/>
                <w:sz w:val="16"/>
                <w:szCs w:val="16"/>
                <w:lang w:val="en-GB"/>
              </w:rPr>
              <w:t>E</w:t>
            </w:r>
          </w:p>
        </w:tc>
        <w:tc>
          <w:tcPr>
            <w:tcW w:w="869" w:type="dxa"/>
            <w:tcBorders>
              <w:left w:val="nil"/>
              <w:bottom w:val="single" w:sz="4" w:space="0" w:color="auto"/>
              <w:right w:val="nil"/>
            </w:tcBorders>
          </w:tcPr>
          <w:p w14:paraId="4371A8C2" w14:textId="77777777" w:rsidR="00BA098F" w:rsidRPr="00C912D0" w:rsidRDefault="00BA098F" w:rsidP="00C912D0">
            <w:pPr>
              <w:keepNext/>
              <w:jc w:val="center"/>
              <w:rPr>
                <w:b/>
                <w:sz w:val="16"/>
                <w:szCs w:val="16"/>
                <w:lang w:val="en-GB"/>
              </w:rPr>
            </w:pPr>
            <w:r w:rsidRPr="00C912D0">
              <w:rPr>
                <w:b/>
                <w:sz w:val="16"/>
                <w:szCs w:val="16"/>
                <w:lang w:val="en-GB"/>
              </w:rPr>
              <w:t>D</w:t>
            </w:r>
          </w:p>
        </w:tc>
        <w:tc>
          <w:tcPr>
            <w:tcW w:w="869" w:type="dxa"/>
            <w:tcBorders>
              <w:left w:val="nil"/>
              <w:bottom w:val="single" w:sz="4" w:space="0" w:color="auto"/>
              <w:right w:val="nil"/>
            </w:tcBorders>
          </w:tcPr>
          <w:p w14:paraId="7A63E9F9" w14:textId="77777777" w:rsidR="00BA098F" w:rsidRPr="00C912D0" w:rsidRDefault="00BA098F" w:rsidP="00C912D0">
            <w:pPr>
              <w:keepNext/>
              <w:jc w:val="center"/>
              <w:rPr>
                <w:b/>
                <w:sz w:val="16"/>
                <w:szCs w:val="16"/>
                <w:lang w:val="en-GB"/>
              </w:rPr>
            </w:pPr>
            <w:r w:rsidRPr="00C912D0">
              <w:rPr>
                <w:b/>
                <w:sz w:val="16"/>
                <w:szCs w:val="16"/>
                <w:lang w:val="en-GB"/>
              </w:rPr>
              <w:t>C</w:t>
            </w:r>
          </w:p>
        </w:tc>
        <w:tc>
          <w:tcPr>
            <w:tcW w:w="869" w:type="dxa"/>
            <w:tcBorders>
              <w:left w:val="nil"/>
              <w:bottom w:val="single" w:sz="4" w:space="0" w:color="auto"/>
              <w:right w:val="nil"/>
            </w:tcBorders>
          </w:tcPr>
          <w:p w14:paraId="6613EAF1" w14:textId="77777777" w:rsidR="00BA098F" w:rsidRPr="00C912D0" w:rsidRDefault="00BA098F" w:rsidP="00C912D0">
            <w:pPr>
              <w:keepNext/>
              <w:jc w:val="center"/>
              <w:rPr>
                <w:b/>
                <w:sz w:val="16"/>
                <w:szCs w:val="16"/>
                <w:lang w:val="en-GB"/>
              </w:rPr>
            </w:pPr>
            <w:r w:rsidRPr="00C912D0">
              <w:rPr>
                <w:b/>
                <w:sz w:val="16"/>
                <w:szCs w:val="16"/>
                <w:lang w:val="en-GB"/>
              </w:rPr>
              <w:t>B</w:t>
            </w:r>
          </w:p>
        </w:tc>
        <w:tc>
          <w:tcPr>
            <w:tcW w:w="869" w:type="dxa"/>
            <w:tcBorders>
              <w:left w:val="nil"/>
              <w:bottom w:val="single" w:sz="4" w:space="0" w:color="auto"/>
              <w:right w:val="nil"/>
            </w:tcBorders>
          </w:tcPr>
          <w:p w14:paraId="25291890" w14:textId="77777777" w:rsidR="00BA098F" w:rsidRPr="00C912D0" w:rsidRDefault="00BA098F" w:rsidP="00C912D0">
            <w:pPr>
              <w:keepNext/>
              <w:jc w:val="center"/>
              <w:rPr>
                <w:b/>
                <w:sz w:val="16"/>
                <w:szCs w:val="16"/>
                <w:lang w:val="en-GB"/>
              </w:rPr>
            </w:pPr>
            <w:r w:rsidRPr="00C912D0">
              <w:rPr>
                <w:b/>
                <w:sz w:val="16"/>
                <w:szCs w:val="16"/>
                <w:lang w:val="en-GB"/>
              </w:rPr>
              <w:t>A</w:t>
            </w:r>
          </w:p>
        </w:tc>
      </w:tr>
      <w:tr w:rsidR="00BA098F" w:rsidRPr="005771E8" w14:paraId="4F3DD225" w14:textId="77777777" w:rsidTr="005771E8">
        <w:trPr>
          <w:trHeight w:val="278"/>
        </w:trPr>
        <w:tc>
          <w:tcPr>
            <w:tcW w:w="897" w:type="dxa"/>
            <w:vMerge w:val="restart"/>
            <w:tcBorders>
              <w:left w:val="nil"/>
            </w:tcBorders>
          </w:tcPr>
          <w:p w14:paraId="7B2742E7" w14:textId="0729249B" w:rsidR="00BA098F" w:rsidRPr="00C912D0" w:rsidRDefault="009B761A" w:rsidP="009B761A">
            <w:pPr>
              <w:pStyle w:val="Corpsdetexte"/>
              <w:keepNext/>
              <w:spacing w:after="0"/>
              <w:jc w:val="both"/>
              <w:rPr>
                <w:b/>
                <w:sz w:val="16"/>
                <w:szCs w:val="16"/>
                <w:lang w:val="en-GB"/>
              </w:rPr>
            </w:pPr>
            <w:r>
              <w:rPr>
                <w:b/>
                <w:sz w:val="16"/>
                <w:szCs w:val="16"/>
                <w:lang w:val="en-GB"/>
              </w:rPr>
              <w:t>E</w:t>
            </w:r>
            <w:r w:rsidR="00316999">
              <w:rPr>
                <w:b/>
                <w:sz w:val="16"/>
                <w:szCs w:val="16"/>
                <w:lang w:val="en-GB"/>
              </w:rPr>
              <w:t>tiquette</w:t>
            </w:r>
            <w:r>
              <w:rPr>
                <w:b/>
                <w:sz w:val="16"/>
                <w:szCs w:val="16"/>
                <w:lang w:val="en-GB"/>
              </w:rPr>
              <w:t xml:space="preserve"> initiale</w:t>
            </w:r>
          </w:p>
        </w:tc>
        <w:tc>
          <w:tcPr>
            <w:tcW w:w="868" w:type="dxa"/>
            <w:tcBorders>
              <w:bottom w:val="nil"/>
              <w:right w:val="nil"/>
            </w:tcBorders>
          </w:tcPr>
          <w:p w14:paraId="2C3E8EE8" w14:textId="77777777" w:rsidR="00BA098F" w:rsidRPr="00C912D0" w:rsidRDefault="00BA098F" w:rsidP="00C912D0">
            <w:pPr>
              <w:keepNext/>
              <w:jc w:val="center"/>
              <w:rPr>
                <w:b/>
                <w:sz w:val="16"/>
                <w:szCs w:val="16"/>
                <w:lang w:val="en-GB"/>
              </w:rPr>
            </w:pPr>
            <w:r w:rsidRPr="00C912D0">
              <w:rPr>
                <w:b/>
                <w:sz w:val="16"/>
                <w:szCs w:val="16"/>
                <w:lang w:val="en-GB"/>
              </w:rPr>
              <w:t>G</w:t>
            </w:r>
          </w:p>
        </w:tc>
        <w:tc>
          <w:tcPr>
            <w:tcW w:w="611" w:type="dxa"/>
            <w:tcBorders>
              <w:left w:val="nil"/>
              <w:bottom w:val="nil"/>
              <w:right w:val="nil"/>
            </w:tcBorders>
          </w:tcPr>
          <w:p w14:paraId="76FD1ED6" w14:textId="77777777" w:rsidR="00BA098F" w:rsidRPr="00C912D0" w:rsidRDefault="00BA098F" w:rsidP="00C912D0">
            <w:pPr>
              <w:keepNext/>
              <w:rPr>
                <w:sz w:val="16"/>
                <w:szCs w:val="16"/>
                <w:lang w:val="en-GB"/>
              </w:rPr>
            </w:pPr>
            <w:r w:rsidRPr="00C912D0">
              <w:rPr>
                <w:sz w:val="16"/>
                <w:szCs w:val="16"/>
                <w:lang w:val="en-GB"/>
              </w:rPr>
              <w:t>76</w:t>
            </w:r>
          </w:p>
        </w:tc>
        <w:tc>
          <w:tcPr>
            <w:tcW w:w="1127" w:type="dxa"/>
            <w:tcBorders>
              <w:left w:val="nil"/>
              <w:bottom w:val="nil"/>
              <w:right w:val="nil"/>
            </w:tcBorders>
          </w:tcPr>
          <w:p w14:paraId="6794FFA9" w14:textId="77777777" w:rsidR="00BA098F" w:rsidRPr="00C912D0" w:rsidRDefault="00BA098F" w:rsidP="00C912D0">
            <w:pPr>
              <w:keepNext/>
              <w:jc w:val="center"/>
              <w:rPr>
                <w:sz w:val="16"/>
                <w:szCs w:val="16"/>
                <w:lang w:val="en-GB"/>
              </w:rPr>
            </w:pPr>
            <w:r w:rsidRPr="00C912D0">
              <w:rPr>
                <w:sz w:val="16"/>
                <w:szCs w:val="16"/>
                <w:lang w:val="en-GB"/>
              </w:rPr>
              <w:t>136</w:t>
            </w:r>
          </w:p>
        </w:tc>
        <w:tc>
          <w:tcPr>
            <w:tcW w:w="869" w:type="dxa"/>
            <w:tcBorders>
              <w:left w:val="nil"/>
              <w:bottom w:val="nil"/>
              <w:right w:val="nil"/>
            </w:tcBorders>
          </w:tcPr>
          <w:p w14:paraId="5A20E36A" w14:textId="77777777" w:rsidR="00BA098F" w:rsidRPr="00C912D0" w:rsidRDefault="00BA098F" w:rsidP="00C912D0">
            <w:pPr>
              <w:keepNext/>
              <w:jc w:val="center"/>
              <w:rPr>
                <w:sz w:val="16"/>
                <w:szCs w:val="16"/>
                <w:lang w:val="en-GB"/>
              </w:rPr>
            </w:pPr>
            <w:r w:rsidRPr="00C912D0">
              <w:rPr>
                <w:sz w:val="16"/>
                <w:szCs w:val="16"/>
                <w:lang w:val="en-GB"/>
              </w:rPr>
              <w:t>201</w:t>
            </w:r>
          </w:p>
        </w:tc>
        <w:tc>
          <w:tcPr>
            <w:tcW w:w="869" w:type="dxa"/>
            <w:tcBorders>
              <w:left w:val="nil"/>
              <w:bottom w:val="nil"/>
              <w:right w:val="nil"/>
            </w:tcBorders>
          </w:tcPr>
          <w:p w14:paraId="3AC13E5D" w14:textId="77777777" w:rsidR="00BA098F" w:rsidRPr="00C912D0" w:rsidRDefault="00BA098F" w:rsidP="00C912D0">
            <w:pPr>
              <w:keepNext/>
              <w:jc w:val="center"/>
              <w:rPr>
                <w:sz w:val="16"/>
                <w:szCs w:val="16"/>
                <w:lang w:val="en-GB"/>
              </w:rPr>
            </w:pPr>
            <w:r w:rsidRPr="00C912D0">
              <w:rPr>
                <w:sz w:val="16"/>
                <w:szCs w:val="16"/>
                <w:lang w:val="en-GB"/>
              </w:rPr>
              <w:t>271</w:t>
            </w:r>
          </w:p>
        </w:tc>
        <w:tc>
          <w:tcPr>
            <w:tcW w:w="869" w:type="dxa"/>
            <w:tcBorders>
              <w:left w:val="nil"/>
              <w:bottom w:val="nil"/>
              <w:right w:val="nil"/>
            </w:tcBorders>
          </w:tcPr>
          <w:p w14:paraId="22823BFF" w14:textId="77777777" w:rsidR="00BA098F" w:rsidRPr="00C912D0" w:rsidRDefault="00BA098F" w:rsidP="00C912D0">
            <w:pPr>
              <w:keepNext/>
              <w:jc w:val="center"/>
              <w:rPr>
                <w:sz w:val="16"/>
                <w:szCs w:val="16"/>
                <w:lang w:val="en-GB"/>
              </w:rPr>
            </w:pPr>
            <w:r w:rsidRPr="00C912D0">
              <w:rPr>
                <w:sz w:val="16"/>
                <w:szCs w:val="16"/>
                <w:lang w:val="en-GB"/>
              </w:rPr>
              <w:t>351</w:t>
            </w:r>
          </w:p>
        </w:tc>
        <w:tc>
          <w:tcPr>
            <w:tcW w:w="869" w:type="dxa"/>
            <w:tcBorders>
              <w:left w:val="nil"/>
              <w:bottom w:val="nil"/>
              <w:right w:val="nil"/>
            </w:tcBorders>
          </w:tcPr>
          <w:p w14:paraId="794460AD" w14:textId="77777777" w:rsidR="00BA098F" w:rsidRPr="00C912D0" w:rsidRDefault="00BA098F" w:rsidP="00C912D0">
            <w:pPr>
              <w:keepNext/>
              <w:jc w:val="center"/>
              <w:rPr>
                <w:sz w:val="16"/>
                <w:szCs w:val="16"/>
                <w:lang w:val="en-GB"/>
              </w:rPr>
            </w:pPr>
            <w:r w:rsidRPr="00C912D0">
              <w:rPr>
                <w:sz w:val="16"/>
                <w:szCs w:val="16"/>
                <w:lang w:val="en-GB"/>
              </w:rPr>
              <w:t>442</w:t>
            </w:r>
          </w:p>
        </w:tc>
      </w:tr>
      <w:tr w:rsidR="00BA098F" w:rsidRPr="005771E8" w14:paraId="2E1C4219" w14:textId="77777777" w:rsidTr="005771E8">
        <w:trPr>
          <w:trHeight w:val="202"/>
        </w:trPr>
        <w:tc>
          <w:tcPr>
            <w:tcW w:w="897" w:type="dxa"/>
            <w:vMerge/>
            <w:tcBorders>
              <w:left w:val="nil"/>
            </w:tcBorders>
          </w:tcPr>
          <w:p w14:paraId="11B3B4AE" w14:textId="77777777" w:rsidR="00BA098F" w:rsidRPr="00C912D0" w:rsidRDefault="00BA098F" w:rsidP="00C912D0">
            <w:pPr>
              <w:pStyle w:val="Corpsdetexte"/>
              <w:keepNext/>
              <w:spacing w:after="0"/>
              <w:jc w:val="both"/>
              <w:rPr>
                <w:b/>
                <w:sz w:val="16"/>
                <w:szCs w:val="16"/>
                <w:lang w:val="en-GB"/>
              </w:rPr>
            </w:pPr>
          </w:p>
        </w:tc>
        <w:tc>
          <w:tcPr>
            <w:tcW w:w="868" w:type="dxa"/>
            <w:tcBorders>
              <w:top w:val="nil"/>
              <w:bottom w:val="nil"/>
              <w:right w:val="nil"/>
            </w:tcBorders>
          </w:tcPr>
          <w:p w14:paraId="36272584" w14:textId="77777777" w:rsidR="00BA098F" w:rsidRPr="00C912D0" w:rsidRDefault="00BA098F" w:rsidP="00C912D0">
            <w:pPr>
              <w:keepNext/>
              <w:jc w:val="center"/>
              <w:rPr>
                <w:b/>
                <w:sz w:val="16"/>
                <w:szCs w:val="16"/>
                <w:lang w:val="en-GB"/>
              </w:rPr>
            </w:pPr>
            <w:r w:rsidRPr="00C912D0">
              <w:rPr>
                <w:b/>
                <w:sz w:val="16"/>
                <w:szCs w:val="16"/>
                <w:lang w:val="en-GB"/>
              </w:rPr>
              <w:t>F</w:t>
            </w:r>
          </w:p>
        </w:tc>
        <w:tc>
          <w:tcPr>
            <w:tcW w:w="611" w:type="dxa"/>
            <w:tcBorders>
              <w:top w:val="nil"/>
              <w:left w:val="nil"/>
              <w:bottom w:val="nil"/>
              <w:right w:val="nil"/>
            </w:tcBorders>
          </w:tcPr>
          <w:p w14:paraId="16D71C89" w14:textId="77777777" w:rsidR="00BA098F" w:rsidRPr="00C912D0" w:rsidRDefault="00BA098F" w:rsidP="00C912D0">
            <w:pPr>
              <w:keepNext/>
              <w:rPr>
                <w:sz w:val="16"/>
                <w:szCs w:val="16"/>
                <w:lang w:val="en-GB"/>
              </w:rPr>
            </w:pPr>
          </w:p>
        </w:tc>
        <w:tc>
          <w:tcPr>
            <w:tcW w:w="1127" w:type="dxa"/>
            <w:tcBorders>
              <w:top w:val="nil"/>
              <w:left w:val="nil"/>
              <w:bottom w:val="nil"/>
              <w:right w:val="nil"/>
            </w:tcBorders>
          </w:tcPr>
          <w:p w14:paraId="556E769B" w14:textId="77777777" w:rsidR="00BA098F" w:rsidRPr="00C912D0" w:rsidRDefault="00BA098F" w:rsidP="00C912D0">
            <w:pPr>
              <w:keepNext/>
              <w:jc w:val="center"/>
              <w:rPr>
                <w:sz w:val="16"/>
                <w:szCs w:val="16"/>
                <w:lang w:val="en-GB"/>
              </w:rPr>
            </w:pPr>
            <w:r w:rsidRPr="00C912D0">
              <w:rPr>
                <w:sz w:val="16"/>
                <w:szCs w:val="16"/>
                <w:lang w:val="en-GB"/>
              </w:rPr>
              <w:t>63</w:t>
            </w:r>
          </w:p>
        </w:tc>
        <w:tc>
          <w:tcPr>
            <w:tcW w:w="869" w:type="dxa"/>
            <w:tcBorders>
              <w:top w:val="nil"/>
              <w:left w:val="nil"/>
              <w:bottom w:val="nil"/>
              <w:right w:val="nil"/>
            </w:tcBorders>
          </w:tcPr>
          <w:p w14:paraId="09C8F30D" w14:textId="77777777" w:rsidR="00BA098F" w:rsidRPr="00C912D0" w:rsidRDefault="00BA098F" w:rsidP="00C912D0">
            <w:pPr>
              <w:keepNext/>
              <w:jc w:val="center"/>
              <w:rPr>
                <w:sz w:val="16"/>
                <w:szCs w:val="16"/>
                <w:lang w:val="en-GB"/>
              </w:rPr>
            </w:pPr>
            <w:r w:rsidRPr="00C912D0">
              <w:rPr>
                <w:sz w:val="16"/>
                <w:szCs w:val="16"/>
                <w:lang w:val="en-GB"/>
              </w:rPr>
              <w:t>130</w:t>
            </w:r>
          </w:p>
        </w:tc>
        <w:tc>
          <w:tcPr>
            <w:tcW w:w="869" w:type="dxa"/>
            <w:tcBorders>
              <w:top w:val="nil"/>
              <w:left w:val="nil"/>
              <w:bottom w:val="nil"/>
              <w:right w:val="nil"/>
            </w:tcBorders>
          </w:tcPr>
          <w:p w14:paraId="7D20EBEC" w14:textId="77777777" w:rsidR="00BA098F" w:rsidRPr="00C912D0" w:rsidRDefault="00BA098F" w:rsidP="00C912D0">
            <w:pPr>
              <w:keepNext/>
              <w:jc w:val="center"/>
              <w:rPr>
                <w:sz w:val="16"/>
                <w:szCs w:val="16"/>
                <w:lang w:val="en-GB"/>
              </w:rPr>
            </w:pPr>
            <w:r w:rsidRPr="00C912D0">
              <w:rPr>
                <w:sz w:val="16"/>
                <w:szCs w:val="16"/>
                <w:lang w:val="en-GB"/>
              </w:rPr>
              <w:t>204</w:t>
            </w:r>
          </w:p>
        </w:tc>
        <w:tc>
          <w:tcPr>
            <w:tcW w:w="869" w:type="dxa"/>
            <w:tcBorders>
              <w:top w:val="nil"/>
              <w:left w:val="nil"/>
              <w:bottom w:val="nil"/>
              <w:right w:val="nil"/>
            </w:tcBorders>
          </w:tcPr>
          <w:p w14:paraId="7307B165" w14:textId="77777777" w:rsidR="00BA098F" w:rsidRPr="00C912D0" w:rsidRDefault="00BA098F" w:rsidP="00C912D0">
            <w:pPr>
              <w:keepNext/>
              <w:jc w:val="center"/>
              <w:rPr>
                <w:sz w:val="16"/>
                <w:szCs w:val="16"/>
                <w:lang w:val="en-GB"/>
              </w:rPr>
            </w:pPr>
            <w:r w:rsidRPr="00C912D0">
              <w:rPr>
                <w:sz w:val="16"/>
                <w:szCs w:val="16"/>
                <w:lang w:val="en-GB"/>
              </w:rPr>
              <w:t>287</w:t>
            </w:r>
          </w:p>
        </w:tc>
        <w:tc>
          <w:tcPr>
            <w:tcW w:w="869" w:type="dxa"/>
            <w:tcBorders>
              <w:top w:val="nil"/>
              <w:left w:val="nil"/>
              <w:bottom w:val="nil"/>
              <w:right w:val="nil"/>
            </w:tcBorders>
          </w:tcPr>
          <w:p w14:paraId="092D68DB" w14:textId="77777777" w:rsidR="00BA098F" w:rsidRPr="00C912D0" w:rsidRDefault="00BA098F" w:rsidP="00C912D0">
            <w:pPr>
              <w:keepNext/>
              <w:jc w:val="center"/>
              <w:rPr>
                <w:sz w:val="16"/>
                <w:szCs w:val="16"/>
                <w:lang w:val="en-GB"/>
              </w:rPr>
            </w:pPr>
            <w:r w:rsidRPr="00C912D0">
              <w:rPr>
                <w:sz w:val="16"/>
                <w:szCs w:val="16"/>
                <w:lang w:val="en-GB"/>
              </w:rPr>
              <w:t>382</w:t>
            </w:r>
          </w:p>
        </w:tc>
      </w:tr>
      <w:tr w:rsidR="00BA098F" w:rsidRPr="005771E8" w14:paraId="2375ACAA" w14:textId="77777777" w:rsidTr="005771E8">
        <w:trPr>
          <w:trHeight w:val="202"/>
        </w:trPr>
        <w:tc>
          <w:tcPr>
            <w:tcW w:w="897" w:type="dxa"/>
            <w:vMerge/>
            <w:tcBorders>
              <w:left w:val="nil"/>
            </w:tcBorders>
          </w:tcPr>
          <w:p w14:paraId="0D2076D4" w14:textId="77777777" w:rsidR="00BA098F" w:rsidRPr="00C912D0" w:rsidRDefault="00BA098F" w:rsidP="00C912D0">
            <w:pPr>
              <w:pStyle w:val="Corpsdetexte"/>
              <w:keepNext/>
              <w:spacing w:after="0"/>
              <w:jc w:val="both"/>
              <w:rPr>
                <w:b/>
                <w:sz w:val="16"/>
                <w:szCs w:val="16"/>
                <w:lang w:val="en-GB"/>
              </w:rPr>
            </w:pPr>
          </w:p>
        </w:tc>
        <w:tc>
          <w:tcPr>
            <w:tcW w:w="868" w:type="dxa"/>
            <w:tcBorders>
              <w:top w:val="nil"/>
              <w:bottom w:val="nil"/>
              <w:right w:val="nil"/>
            </w:tcBorders>
          </w:tcPr>
          <w:p w14:paraId="317B49E8" w14:textId="77777777" w:rsidR="00BA098F" w:rsidRPr="00C912D0" w:rsidRDefault="00BA098F" w:rsidP="00C912D0">
            <w:pPr>
              <w:keepNext/>
              <w:jc w:val="center"/>
              <w:rPr>
                <w:b/>
                <w:sz w:val="16"/>
                <w:szCs w:val="16"/>
                <w:lang w:val="en-GB"/>
              </w:rPr>
            </w:pPr>
            <w:r w:rsidRPr="00C912D0">
              <w:rPr>
                <w:b/>
                <w:sz w:val="16"/>
                <w:szCs w:val="16"/>
                <w:lang w:val="en-GB"/>
              </w:rPr>
              <w:t>E</w:t>
            </w:r>
          </w:p>
        </w:tc>
        <w:tc>
          <w:tcPr>
            <w:tcW w:w="611" w:type="dxa"/>
            <w:tcBorders>
              <w:top w:val="nil"/>
              <w:left w:val="nil"/>
              <w:bottom w:val="nil"/>
              <w:right w:val="nil"/>
            </w:tcBorders>
          </w:tcPr>
          <w:p w14:paraId="61CF072C" w14:textId="77777777" w:rsidR="00BA098F" w:rsidRPr="00C912D0" w:rsidRDefault="00BA098F" w:rsidP="00C912D0">
            <w:pPr>
              <w:keepNext/>
              <w:rPr>
                <w:sz w:val="16"/>
                <w:szCs w:val="16"/>
                <w:lang w:val="en-GB"/>
              </w:rPr>
            </w:pPr>
          </w:p>
        </w:tc>
        <w:tc>
          <w:tcPr>
            <w:tcW w:w="1127" w:type="dxa"/>
            <w:tcBorders>
              <w:top w:val="nil"/>
              <w:left w:val="nil"/>
              <w:bottom w:val="nil"/>
              <w:right w:val="nil"/>
            </w:tcBorders>
          </w:tcPr>
          <w:p w14:paraId="5E52FE2C" w14:textId="77777777" w:rsidR="00BA098F" w:rsidRPr="00C912D0" w:rsidRDefault="00BA098F" w:rsidP="00C912D0">
            <w:pPr>
              <w:keepNext/>
              <w:jc w:val="center"/>
              <w:rPr>
                <w:sz w:val="16"/>
                <w:szCs w:val="16"/>
                <w:lang w:val="en-GB"/>
              </w:rPr>
            </w:pPr>
          </w:p>
        </w:tc>
        <w:tc>
          <w:tcPr>
            <w:tcW w:w="869" w:type="dxa"/>
            <w:tcBorders>
              <w:top w:val="nil"/>
              <w:left w:val="nil"/>
              <w:bottom w:val="nil"/>
              <w:right w:val="nil"/>
            </w:tcBorders>
          </w:tcPr>
          <w:p w14:paraId="30EDB9FF" w14:textId="77777777" w:rsidR="00BA098F" w:rsidRPr="00C912D0" w:rsidRDefault="00BA098F" w:rsidP="00C912D0">
            <w:pPr>
              <w:keepNext/>
              <w:jc w:val="center"/>
              <w:rPr>
                <w:sz w:val="16"/>
                <w:szCs w:val="16"/>
                <w:lang w:val="en-GB"/>
              </w:rPr>
            </w:pPr>
            <w:r w:rsidRPr="00C912D0">
              <w:rPr>
                <w:sz w:val="16"/>
                <w:szCs w:val="16"/>
                <w:lang w:val="en-GB"/>
              </w:rPr>
              <w:t>70</w:t>
            </w:r>
          </w:p>
        </w:tc>
        <w:tc>
          <w:tcPr>
            <w:tcW w:w="869" w:type="dxa"/>
            <w:tcBorders>
              <w:top w:val="nil"/>
              <w:left w:val="nil"/>
              <w:bottom w:val="nil"/>
              <w:right w:val="nil"/>
            </w:tcBorders>
          </w:tcPr>
          <w:p w14:paraId="2B054793" w14:textId="77777777" w:rsidR="00BA098F" w:rsidRPr="00C912D0" w:rsidRDefault="00BA098F" w:rsidP="00C912D0">
            <w:pPr>
              <w:keepNext/>
              <w:jc w:val="center"/>
              <w:rPr>
                <w:sz w:val="16"/>
                <w:szCs w:val="16"/>
                <w:lang w:val="en-GB"/>
              </w:rPr>
            </w:pPr>
            <w:r w:rsidRPr="00C912D0">
              <w:rPr>
                <w:sz w:val="16"/>
                <w:szCs w:val="16"/>
                <w:lang w:val="en-GB"/>
              </w:rPr>
              <w:t>146</w:t>
            </w:r>
          </w:p>
        </w:tc>
        <w:tc>
          <w:tcPr>
            <w:tcW w:w="869" w:type="dxa"/>
            <w:tcBorders>
              <w:top w:val="nil"/>
              <w:left w:val="nil"/>
              <w:bottom w:val="nil"/>
              <w:right w:val="nil"/>
            </w:tcBorders>
          </w:tcPr>
          <w:p w14:paraId="0497A760" w14:textId="77777777" w:rsidR="00BA098F" w:rsidRPr="00C912D0" w:rsidRDefault="00BA098F" w:rsidP="00C912D0">
            <w:pPr>
              <w:keepNext/>
              <w:jc w:val="center"/>
              <w:rPr>
                <w:sz w:val="16"/>
                <w:szCs w:val="16"/>
                <w:lang w:val="en-GB"/>
              </w:rPr>
            </w:pPr>
            <w:r w:rsidRPr="00C912D0">
              <w:rPr>
                <w:sz w:val="16"/>
                <w:szCs w:val="16"/>
                <w:lang w:val="en-GB"/>
              </w:rPr>
              <w:t>232</w:t>
            </w:r>
          </w:p>
        </w:tc>
        <w:tc>
          <w:tcPr>
            <w:tcW w:w="869" w:type="dxa"/>
            <w:tcBorders>
              <w:top w:val="nil"/>
              <w:left w:val="nil"/>
              <w:bottom w:val="nil"/>
              <w:right w:val="nil"/>
            </w:tcBorders>
          </w:tcPr>
          <w:p w14:paraId="48FCC09A" w14:textId="77777777" w:rsidR="00BA098F" w:rsidRPr="00C912D0" w:rsidRDefault="00BA098F" w:rsidP="00C912D0">
            <w:pPr>
              <w:keepNext/>
              <w:jc w:val="center"/>
              <w:rPr>
                <w:sz w:val="16"/>
                <w:szCs w:val="16"/>
                <w:lang w:val="en-GB"/>
              </w:rPr>
            </w:pPr>
            <w:r w:rsidRPr="00C912D0">
              <w:rPr>
                <w:sz w:val="16"/>
                <w:szCs w:val="16"/>
                <w:lang w:val="en-GB"/>
              </w:rPr>
              <w:t>331</w:t>
            </w:r>
          </w:p>
        </w:tc>
      </w:tr>
      <w:tr w:rsidR="00BA098F" w:rsidRPr="005771E8" w14:paraId="59FD0BF0" w14:textId="77777777" w:rsidTr="005771E8">
        <w:trPr>
          <w:trHeight w:val="202"/>
        </w:trPr>
        <w:tc>
          <w:tcPr>
            <w:tcW w:w="897" w:type="dxa"/>
            <w:vMerge/>
            <w:tcBorders>
              <w:left w:val="nil"/>
            </w:tcBorders>
          </w:tcPr>
          <w:p w14:paraId="746DABA1" w14:textId="77777777" w:rsidR="00BA098F" w:rsidRPr="00C912D0" w:rsidRDefault="00BA098F" w:rsidP="00C912D0">
            <w:pPr>
              <w:pStyle w:val="Corpsdetexte"/>
              <w:keepNext/>
              <w:spacing w:after="0"/>
              <w:jc w:val="both"/>
              <w:rPr>
                <w:b/>
                <w:sz w:val="16"/>
                <w:szCs w:val="16"/>
                <w:lang w:val="en-GB"/>
              </w:rPr>
            </w:pPr>
          </w:p>
        </w:tc>
        <w:tc>
          <w:tcPr>
            <w:tcW w:w="868" w:type="dxa"/>
            <w:tcBorders>
              <w:top w:val="nil"/>
              <w:bottom w:val="nil"/>
              <w:right w:val="nil"/>
            </w:tcBorders>
          </w:tcPr>
          <w:p w14:paraId="2E5E3055" w14:textId="77777777" w:rsidR="00BA098F" w:rsidRPr="00C912D0" w:rsidRDefault="00BA098F" w:rsidP="00C912D0">
            <w:pPr>
              <w:keepNext/>
              <w:jc w:val="center"/>
              <w:rPr>
                <w:b/>
                <w:sz w:val="16"/>
                <w:szCs w:val="16"/>
                <w:lang w:val="en-GB"/>
              </w:rPr>
            </w:pPr>
            <w:r w:rsidRPr="00C912D0">
              <w:rPr>
                <w:b/>
                <w:sz w:val="16"/>
                <w:szCs w:val="16"/>
                <w:lang w:val="en-GB"/>
              </w:rPr>
              <w:t>D</w:t>
            </w:r>
          </w:p>
        </w:tc>
        <w:tc>
          <w:tcPr>
            <w:tcW w:w="611" w:type="dxa"/>
            <w:tcBorders>
              <w:top w:val="nil"/>
              <w:left w:val="nil"/>
              <w:bottom w:val="nil"/>
              <w:right w:val="nil"/>
            </w:tcBorders>
          </w:tcPr>
          <w:p w14:paraId="6E70F5A2" w14:textId="77777777" w:rsidR="00BA098F" w:rsidRPr="00C912D0" w:rsidRDefault="00BA098F" w:rsidP="00C912D0">
            <w:pPr>
              <w:keepNext/>
              <w:rPr>
                <w:sz w:val="16"/>
                <w:szCs w:val="16"/>
                <w:lang w:val="en-GB"/>
              </w:rPr>
            </w:pPr>
          </w:p>
        </w:tc>
        <w:tc>
          <w:tcPr>
            <w:tcW w:w="1127" w:type="dxa"/>
            <w:tcBorders>
              <w:top w:val="nil"/>
              <w:left w:val="nil"/>
              <w:bottom w:val="nil"/>
              <w:right w:val="nil"/>
            </w:tcBorders>
          </w:tcPr>
          <w:p w14:paraId="7E8C3000" w14:textId="77777777" w:rsidR="00BA098F" w:rsidRPr="00C912D0" w:rsidRDefault="00BA098F" w:rsidP="00C912D0">
            <w:pPr>
              <w:keepNext/>
              <w:jc w:val="center"/>
              <w:rPr>
                <w:sz w:val="16"/>
                <w:szCs w:val="16"/>
                <w:lang w:val="en-GB"/>
              </w:rPr>
            </w:pPr>
          </w:p>
        </w:tc>
        <w:tc>
          <w:tcPr>
            <w:tcW w:w="869" w:type="dxa"/>
            <w:tcBorders>
              <w:top w:val="nil"/>
              <w:left w:val="nil"/>
              <w:bottom w:val="nil"/>
              <w:right w:val="nil"/>
            </w:tcBorders>
          </w:tcPr>
          <w:p w14:paraId="631A5C6B" w14:textId="77777777" w:rsidR="00BA098F" w:rsidRPr="00C912D0" w:rsidRDefault="00BA098F" w:rsidP="00C912D0">
            <w:pPr>
              <w:keepNext/>
              <w:jc w:val="center"/>
              <w:rPr>
                <w:sz w:val="16"/>
                <w:szCs w:val="16"/>
                <w:lang w:val="en-GB"/>
              </w:rPr>
            </w:pPr>
          </w:p>
        </w:tc>
        <w:tc>
          <w:tcPr>
            <w:tcW w:w="869" w:type="dxa"/>
            <w:tcBorders>
              <w:top w:val="nil"/>
              <w:left w:val="nil"/>
              <w:bottom w:val="nil"/>
              <w:right w:val="nil"/>
            </w:tcBorders>
          </w:tcPr>
          <w:p w14:paraId="05586EC9" w14:textId="77777777" w:rsidR="00BA098F" w:rsidRPr="00C912D0" w:rsidRDefault="00BA098F" w:rsidP="00C912D0">
            <w:pPr>
              <w:keepNext/>
              <w:jc w:val="center"/>
              <w:rPr>
                <w:sz w:val="16"/>
                <w:szCs w:val="16"/>
                <w:lang w:val="en-GB"/>
              </w:rPr>
            </w:pPr>
            <w:r w:rsidRPr="00C912D0">
              <w:rPr>
                <w:sz w:val="16"/>
                <w:szCs w:val="16"/>
                <w:lang w:val="en-GB"/>
              </w:rPr>
              <w:t>79</w:t>
            </w:r>
          </w:p>
        </w:tc>
        <w:tc>
          <w:tcPr>
            <w:tcW w:w="869" w:type="dxa"/>
            <w:tcBorders>
              <w:top w:val="nil"/>
              <w:left w:val="nil"/>
              <w:bottom w:val="nil"/>
              <w:right w:val="nil"/>
            </w:tcBorders>
          </w:tcPr>
          <w:p w14:paraId="2C9EB670" w14:textId="77777777" w:rsidR="00BA098F" w:rsidRPr="00C912D0" w:rsidRDefault="00BA098F" w:rsidP="00C912D0">
            <w:pPr>
              <w:keepNext/>
              <w:jc w:val="center"/>
              <w:rPr>
                <w:sz w:val="16"/>
                <w:szCs w:val="16"/>
                <w:lang w:val="en-GB"/>
              </w:rPr>
            </w:pPr>
            <w:r w:rsidRPr="00C912D0">
              <w:rPr>
                <w:sz w:val="16"/>
                <w:szCs w:val="16"/>
                <w:lang w:val="en-GB"/>
              </w:rPr>
              <w:t>169</w:t>
            </w:r>
          </w:p>
        </w:tc>
        <w:tc>
          <w:tcPr>
            <w:tcW w:w="869" w:type="dxa"/>
            <w:tcBorders>
              <w:top w:val="nil"/>
              <w:left w:val="nil"/>
              <w:bottom w:val="nil"/>
              <w:right w:val="nil"/>
            </w:tcBorders>
          </w:tcPr>
          <w:p w14:paraId="5FC9C0F9" w14:textId="77777777" w:rsidR="00BA098F" w:rsidRPr="00C912D0" w:rsidRDefault="00BA098F" w:rsidP="00C912D0">
            <w:pPr>
              <w:keepNext/>
              <w:jc w:val="center"/>
              <w:rPr>
                <w:sz w:val="16"/>
                <w:szCs w:val="16"/>
                <w:lang w:val="en-GB"/>
              </w:rPr>
            </w:pPr>
            <w:r w:rsidRPr="00C912D0">
              <w:rPr>
                <w:sz w:val="16"/>
                <w:szCs w:val="16"/>
                <w:lang w:val="en-GB"/>
              </w:rPr>
              <w:t>271</w:t>
            </w:r>
          </w:p>
        </w:tc>
      </w:tr>
      <w:tr w:rsidR="00BA098F" w:rsidRPr="005771E8" w14:paraId="410C5107" w14:textId="77777777" w:rsidTr="005771E8">
        <w:trPr>
          <w:trHeight w:val="202"/>
        </w:trPr>
        <w:tc>
          <w:tcPr>
            <w:tcW w:w="897" w:type="dxa"/>
            <w:vMerge/>
            <w:tcBorders>
              <w:left w:val="nil"/>
            </w:tcBorders>
          </w:tcPr>
          <w:p w14:paraId="5BBFDD36" w14:textId="77777777" w:rsidR="00BA098F" w:rsidRPr="00C912D0" w:rsidRDefault="00BA098F" w:rsidP="00C912D0">
            <w:pPr>
              <w:pStyle w:val="Corpsdetexte"/>
              <w:keepNext/>
              <w:spacing w:after="0"/>
              <w:jc w:val="both"/>
              <w:rPr>
                <w:b/>
                <w:sz w:val="16"/>
                <w:szCs w:val="16"/>
                <w:lang w:val="en-GB"/>
              </w:rPr>
            </w:pPr>
          </w:p>
        </w:tc>
        <w:tc>
          <w:tcPr>
            <w:tcW w:w="868" w:type="dxa"/>
            <w:tcBorders>
              <w:top w:val="nil"/>
              <w:bottom w:val="nil"/>
              <w:right w:val="nil"/>
            </w:tcBorders>
          </w:tcPr>
          <w:p w14:paraId="6A965774" w14:textId="77777777" w:rsidR="00BA098F" w:rsidRPr="00C912D0" w:rsidRDefault="00BA098F" w:rsidP="00C912D0">
            <w:pPr>
              <w:keepNext/>
              <w:jc w:val="center"/>
              <w:rPr>
                <w:b/>
                <w:sz w:val="16"/>
                <w:szCs w:val="16"/>
                <w:lang w:val="en-GB"/>
              </w:rPr>
            </w:pPr>
            <w:r w:rsidRPr="00C912D0">
              <w:rPr>
                <w:b/>
                <w:sz w:val="16"/>
                <w:szCs w:val="16"/>
                <w:lang w:val="en-GB"/>
              </w:rPr>
              <w:t>C</w:t>
            </w:r>
          </w:p>
        </w:tc>
        <w:tc>
          <w:tcPr>
            <w:tcW w:w="611" w:type="dxa"/>
            <w:tcBorders>
              <w:top w:val="nil"/>
              <w:left w:val="nil"/>
              <w:bottom w:val="nil"/>
              <w:right w:val="nil"/>
            </w:tcBorders>
          </w:tcPr>
          <w:p w14:paraId="24A5DA21" w14:textId="77777777" w:rsidR="00BA098F" w:rsidRPr="00C912D0" w:rsidRDefault="00BA098F" w:rsidP="00C912D0">
            <w:pPr>
              <w:keepNext/>
              <w:rPr>
                <w:sz w:val="16"/>
                <w:szCs w:val="16"/>
                <w:lang w:val="en-GB"/>
              </w:rPr>
            </w:pPr>
          </w:p>
        </w:tc>
        <w:tc>
          <w:tcPr>
            <w:tcW w:w="1127" w:type="dxa"/>
            <w:tcBorders>
              <w:top w:val="nil"/>
              <w:left w:val="nil"/>
              <w:bottom w:val="nil"/>
              <w:right w:val="nil"/>
            </w:tcBorders>
          </w:tcPr>
          <w:p w14:paraId="09ADE76D" w14:textId="77777777" w:rsidR="00BA098F" w:rsidRPr="00C912D0" w:rsidRDefault="00BA098F" w:rsidP="00C912D0">
            <w:pPr>
              <w:keepNext/>
              <w:jc w:val="center"/>
              <w:rPr>
                <w:sz w:val="16"/>
                <w:szCs w:val="16"/>
                <w:lang w:val="en-GB"/>
              </w:rPr>
            </w:pPr>
          </w:p>
        </w:tc>
        <w:tc>
          <w:tcPr>
            <w:tcW w:w="869" w:type="dxa"/>
            <w:tcBorders>
              <w:top w:val="nil"/>
              <w:left w:val="nil"/>
              <w:bottom w:val="nil"/>
              <w:right w:val="nil"/>
            </w:tcBorders>
          </w:tcPr>
          <w:p w14:paraId="6F94065A" w14:textId="77777777" w:rsidR="00BA098F" w:rsidRPr="00C912D0" w:rsidRDefault="00BA098F" w:rsidP="00C912D0">
            <w:pPr>
              <w:keepNext/>
              <w:jc w:val="center"/>
              <w:rPr>
                <w:sz w:val="16"/>
                <w:szCs w:val="16"/>
                <w:lang w:val="en-GB"/>
              </w:rPr>
            </w:pPr>
          </w:p>
        </w:tc>
        <w:tc>
          <w:tcPr>
            <w:tcW w:w="869" w:type="dxa"/>
            <w:tcBorders>
              <w:top w:val="nil"/>
              <w:left w:val="nil"/>
              <w:bottom w:val="nil"/>
              <w:right w:val="nil"/>
            </w:tcBorders>
          </w:tcPr>
          <w:p w14:paraId="1CC4AF05" w14:textId="77777777" w:rsidR="00BA098F" w:rsidRPr="00C912D0" w:rsidRDefault="00BA098F" w:rsidP="00C912D0">
            <w:pPr>
              <w:keepNext/>
              <w:jc w:val="center"/>
              <w:rPr>
                <w:sz w:val="16"/>
                <w:szCs w:val="16"/>
                <w:lang w:val="en-GB"/>
              </w:rPr>
            </w:pPr>
          </w:p>
        </w:tc>
        <w:tc>
          <w:tcPr>
            <w:tcW w:w="869" w:type="dxa"/>
            <w:tcBorders>
              <w:top w:val="nil"/>
              <w:left w:val="nil"/>
              <w:bottom w:val="nil"/>
              <w:right w:val="nil"/>
            </w:tcBorders>
          </w:tcPr>
          <w:p w14:paraId="407B2444" w14:textId="77777777" w:rsidR="00BA098F" w:rsidRPr="00C912D0" w:rsidRDefault="00BA098F" w:rsidP="00C912D0">
            <w:pPr>
              <w:keepNext/>
              <w:jc w:val="center"/>
              <w:rPr>
                <w:sz w:val="16"/>
                <w:szCs w:val="16"/>
                <w:lang w:val="en-GB"/>
              </w:rPr>
            </w:pPr>
            <w:r w:rsidRPr="00C912D0">
              <w:rPr>
                <w:sz w:val="16"/>
                <w:szCs w:val="16"/>
                <w:lang w:val="en-GB"/>
              </w:rPr>
              <w:t>93</w:t>
            </w:r>
          </w:p>
        </w:tc>
        <w:tc>
          <w:tcPr>
            <w:tcW w:w="869" w:type="dxa"/>
            <w:tcBorders>
              <w:top w:val="nil"/>
              <w:left w:val="nil"/>
              <w:bottom w:val="nil"/>
              <w:right w:val="nil"/>
            </w:tcBorders>
          </w:tcPr>
          <w:p w14:paraId="4F2B0930" w14:textId="77777777" w:rsidR="00BA098F" w:rsidRPr="00C912D0" w:rsidRDefault="00BA098F" w:rsidP="00C912D0">
            <w:pPr>
              <w:keepNext/>
              <w:jc w:val="center"/>
              <w:rPr>
                <w:sz w:val="16"/>
                <w:szCs w:val="16"/>
                <w:lang w:val="en-GB"/>
              </w:rPr>
            </w:pPr>
            <w:r w:rsidRPr="00C912D0">
              <w:rPr>
                <w:sz w:val="16"/>
                <w:szCs w:val="16"/>
                <w:lang w:val="en-GB"/>
              </w:rPr>
              <w:t>199</w:t>
            </w:r>
          </w:p>
        </w:tc>
      </w:tr>
      <w:tr w:rsidR="00BA098F" w:rsidRPr="005771E8" w14:paraId="1EAEAC2D" w14:textId="77777777" w:rsidTr="005771E8">
        <w:trPr>
          <w:trHeight w:val="202"/>
        </w:trPr>
        <w:tc>
          <w:tcPr>
            <w:tcW w:w="897" w:type="dxa"/>
            <w:vMerge/>
            <w:tcBorders>
              <w:left w:val="nil"/>
            </w:tcBorders>
          </w:tcPr>
          <w:p w14:paraId="108D442D" w14:textId="77777777" w:rsidR="00BA098F" w:rsidRPr="00C912D0" w:rsidRDefault="00BA098F" w:rsidP="005771E8">
            <w:pPr>
              <w:pStyle w:val="Corpsdetexte"/>
              <w:spacing w:after="0"/>
              <w:jc w:val="both"/>
              <w:rPr>
                <w:b/>
                <w:sz w:val="16"/>
                <w:szCs w:val="16"/>
                <w:lang w:val="en-GB"/>
              </w:rPr>
            </w:pPr>
          </w:p>
        </w:tc>
        <w:tc>
          <w:tcPr>
            <w:tcW w:w="868" w:type="dxa"/>
            <w:tcBorders>
              <w:top w:val="nil"/>
              <w:right w:val="nil"/>
            </w:tcBorders>
          </w:tcPr>
          <w:p w14:paraId="167D2288" w14:textId="77777777" w:rsidR="00BA098F" w:rsidRPr="00C912D0" w:rsidRDefault="00BA098F" w:rsidP="005771E8">
            <w:pPr>
              <w:jc w:val="center"/>
              <w:rPr>
                <w:b/>
                <w:sz w:val="16"/>
                <w:szCs w:val="16"/>
                <w:lang w:val="en-GB"/>
              </w:rPr>
            </w:pPr>
            <w:r w:rsidRPr="00C912D0">
              <w:rPr>
                <w:b/>
                <w:sz w:val="16"/>
                <w:szCs w:val="16"/>
                <w:lang w:val="en-GB"/>
              </w:rPr>
              <w:t>B</w:t>
            </w:r>
          </w:p>
        </w:tc>
        <w:tc>
          <w:tcPr>
            <w:tcW w:w="611" w:type="dxa"/>
            <w:tcBorders>
              <w:top w:val="nil"/>
              <w:left w:val="nil"/>
              <w:right w:val="nil"/>
            </w:tcBorders>
          </w:tcPr>
          <w:p w14:paraId="59A26703" w14:textId="77777777" w:rsidR="00BA098F" w:rsidRPr="00C912D0" w:rsidRDefault="00BA098F" w:rsidP="005771E8">
            <w:pPr>
              <w:rPr>
                <w:sz w:val="16"/>
                <w:szCs w:val="16"/>
                <w:lang w:val="en-GB"/>
              </w:rPr>
            </w:pPr>
          </w:p>
        </w:tc>
        <w:tc>
          <w:tcPr>
            <w:tcW w:w="1127" w:type="dxa"/>
            <w:tcBorders>
              <w:top w:val="nil"/>
              <w:left w:val="nil"/>
              <w:right w:val="nil"/>
            </w:tcBorders>
          </w:tcPr>
          <w:p w14:paraId="4656D35A" w14:textId="77777777" w:rsidR="00BA098F" w:rsidRPr="00C912D0" w:rsidRDefault="00BA098F" w:rsidP="005771E8">
            <w:pPr>
              <w:jc w:val="center"/>
              <w:rPr>
                <w:sz w:val="16"/>
                <w:szCs w:val="16"/>
                <w:lang w:val="en-GB"/>
              </w:rPr>
            </w:pPr>
          </w:p>
        </w:tc>
        <w:tc>
          <w:tcPr>
            <w:tcW w:w="869" w:type="dxa"/>
            <w:tcBorders>
              <w:top w:val="nil"/>
              <w:left w:val="nil"/>
              <w:right w:val="nil"/>
            </w:tcBorders>
          </w:tcPr>
          <w:p w14:paraId="0BF707CE" w14:textId="77777777" w:rsidR="00BA098F" w:rsidRPr="00C912D0" w:rsidRDefault="00BA098F" w:rsidP="005771E8">
            <w:pPr>
              <w:jc w:val="center"/>
              <w:rPr>
                <w:sz w:val="16"/>
                <w:szCs w:val="16"/>
                <w:lang w:val="en-GB"/>
              </w:rPr>
            </w:pPr>
          </w:p>
        </w:tc>
        <w:tc>
          <w:tcPr>
            <w:tcW w:w="869" w:type="dxa"/>
            <w:tcBorders>
              <w:top w:val="nil"/>
              <w:left w:val="nil"/>
              <w:right w:val="nil"/>
            </w:tcBorders>
          </w:tcPr>
          <w:p w14:paraId="1EF310BA" w14:textId="77777777" w:rsidR="00BA098F" w:rsidRPr="00C912D0" w:rsidRDefault="00BA098F" w:rsidP="005771E8">
            <w:pPr>
              <w:jc w:val="center"/>
              <w:rPr>
                <w:sz w:val="16"/>
                <w:szCs w:val="16"/>
                <w:lang w:val="en-GB"/>
              </w:rPr>
            </w:pPr>
          </w:p>
        </w:tc>
        <w:tc>
          <w:tcPr>
            <w:tcW w:w="869" w:type="dxa"/>
            <w:tcBorders>
              <w:top w:val="nil"/>
              <w:left w:val="nil"/>
              <w:right w:val="nil"/>
            </w:tcBorders>
          </w:tcPr>
          <w:p w14:paraId="6DD56D75" w14:textId="77777777" w:rsidR="00BA098F" w:rsidRPr="00C912D0" w:rsidRDefault="00BA098F" w:rsidP="005771E8">
            <w:pPr>
              <w:jc w:val="center"/>
              <w:rPr>
                <w:sz w:val="16"/>
                <w:szCs w:val="16"/>
                <w:lang w:val="en-GB"/>
              </w:rPr>
            </w:pPr>
          </w:p>
        </w:tc>
        <w:tc>
          <w:tcPr>
            <w:tcW w:w="869" w:type="dxa"/>
            <w:tcBorders>
              <w:top w:val="nil"/>
              <w:left w:val="nil"/>
              <w:right w:val="nil"/>
            </w:tcBorders>
          </w:tcPr>
          <w:p w14:paraId="2FD5230E" w14:textId="77777777" w:rsidR="00BA098F" w:rsidRPr="00C912D0" w:rsidRDefault="00BA098F" w:rsidP="005771E8">
            <w:pPr>
              <w:jc w:val="center"/>
              <w:rPr>
                <w:sz w:val="16"/>
                <w:szCs w:val="16"/>
                <w:lang w:val="en-GB"/>
              </w:rPr>
            </w:pPr>
            <w:r w:rsidRPr="00C912D0">
              <w:rPr>
                <w:sz w:val="16"/>
                <w:szCs w:val="16"/>
                <w:lang w:val="en-GB"/>
              </w:rPr>
              <w:t>110</w:t>
            </w:r>
          </w:p>
        </w:tc>
      </w:tr>
    </w:tbl>
    <w:p w14:paraId="2E0FF6E4" w14:textId="77777777" w:rsidR="00A26565" w:rsidRPr="00C912D0" w:rsidRDefault="00A26565" w:rsidP="008C5EC7">
      <w:pPr>
        <w:rPr>
          <w:lang w:val="en-GB"/>
        </w:rPr>
      </w:pPr>
    </w:p>
    <w:p w14:paraId="28590A2D" w14:textId="14469E86" w:rsidR="00E50A76" w:rsidRPr="00E50A76" w:rsidRDefault="00415EAA" w:rsidP="00900923">
      <w:pPr>
        <w:rPr>
          <w:lang w:val="fr-FR"/>
        </w:rPr>
      </w:pPr>
      <w:r>
        <w:rPr>
          <w:lang w:val="fr-FR"/>
        </w:rPr>
        <w:t>A titre d’illustration, en considérant une surface moyenne des logements de 91 m², ces coûts s’échelonnent de 5 733€ par logement (transition de F vers E) à 40 222€ (transition de G à A)</w:t>
      </w:r>
      <w:r w:rsidR="00BD2822">
        <w:rPr>
          <w:lang w:val="fr-FR"/>
        </w:rPr>
        <w:t>, avec une moyenne à 112€/m² soit 10 192€.</w:t>
      </w:r>
      <w:r w:rsidR="001C60A1">
        <w:rPr>
          <w:lang w:val="fr-FR"/>
        </w:rPr>
        <w:t xml:space="preserve"> </w:t>
      </w:r>
      <w:r w:rsidR="00E50A76" w:rsidRPr="00E50A76">
        <w:rPr>
          <w:lang w:val="fr-FR"/>
        </w:rPr>
        <w:t xml:space="preserve">Les coûts de construction et de rénovation font l'objet </w:t>
      </w:r>
      <w:r w:rsidR="00120578">
        <w:rPr>
          <w:lang w:val="fr-FR"/>
        </w:rPr>
        <w:t xml:space="preserve">diminuent de façon </w:t>
      </w:r>
      <w:r w:rsidR="00E50A76" w:rsidRPr="00E50A76">
        <w:rPr>
          <w:lang w:val="fr-FR"/>
        </w:rPr>
        <w:t>endogène grâce à des fonctions d'apprentissage paramétrées avec</w:t>
      </w:r>
      <w:r w:rsidR="004C3BC4">
        <w:rPr>
          <w:lang w:val="fr-FR"/>
        </w:rPr>
        <w:t xml:space="preserve"> des taux d'apprentissage de 25</w:t>
      </w:r>
      <w:r w:rsidR="00E50A76" w:rsidRPr="00E50A76">
        <w:rPr>
          <w:lang w:val="fr-FR"/>
        </w:rPr>
        <w:t>% et 10 %, respectivement.</w:t>
      </w:r>
    </w:p>
    <w:p w14:paraId="71A01B4F" w14:textId="3D3257F1" w:rsidR="00213671" w:rsidRPr="00E50A76" w:rsidRDefault="00790538" w:rsidP="00C641B8">
      <w:pPr>
        <w:pStyle w:val="Titre2"/>
        <w:rPr>
          <w:lang w:val="fr-FR"/>
        </w:rPr>
      </w:pPr>
      <w:r>
        <w:rPr>
          <w:lang w:val="fr-FR"/>
        </w:rPr>
        <w:lastRenderedPageBreak/>
        <w:t>Comportement de chauffage</w:t>
      </w:r>
    </w:p>
    <w:p w14:paraId="6A2119B8" w14:textId="34F5399B" w:rsidR="002248F9" w:rsidRDefault="002248F9" w:rsidP="00CF3CBD">
      <w:pPr>
        <w:keepNext/>
        <w:rPr>
          <w:lang w:val="fr-FR"/>
        </w:rPr>
      </w:pPr>
      <w:r>
        <w:rPr>
          <w:lang w:val="fr-FR"/>
        </w:rPr>
        <w:t>En pratique, on observe un écart important entre les économies d’énergie prédites par les modèles de simulation thermique (tels que ceux utilisés dans le cadre du DPE) et réalisées (telles qu’elles se matérialisent par exemple sur la facture d’énergie).</w:t>
      </w:r>
      <w:r w:rsidR="00427BE4">
        <w:rPr>
          <w:lang w:val="fr-FR"/>
        </w:rPr>
        <w:t xml:space="preserve"> Ce phénomène</w:t>
      </w:r>
      <w:r w:rsidR="00C56C73">
        <w:rPr>
          <w:lang w:val="fr-FR"/>
        </w:rPr>
        <w:t xml:space="preserve"> dit de </w:t>
      </w:r>
      <w:r w:rsidR="00C56C73" w:rsidRPr="005E0E66">
        <w:rPr>
          <w:i/>
          <w:lang w:val="fr-FR"/>
        </w:rPr>
        <w:t>performance gap</w:t>
      </w:r>
      <w:r w:rsidR="00427BE4">
        <w:rPr>
          <w:lang w:val="fr-FR"/>
        </w:rPr>
        <w:t>, mis en évidence dès l</w:t>
      </w:r>
      <w:r w:rsidR="00EF2999">
        <w:rPr>
          <w:lang w:val="fr-FR"/>
        </w:rPr>
        <w:t>’évaluation d</w:t>
      </w:r>
      <w:r w:rsidR="00427BE4">
        <w:rPr>
          <w:lang w:val="fr-FR"/>
        </w:rPr>
        <w:t xml:space="preserve">es premiers programmes de rénovation énergétique (Hirst et Goeltz, 1985 ; Metcalf and Hassett, 1999) a connu un regain d’attention récemment (Fowlie et </w:t>
      </w:r>
      <w:proofErr w:type="gramStart"/>
      <w:r w:rsidR="00427BE4">
        <w:rPr>
          <w:lang w:val="fr-FR"/>
        </w:rPr>
        <w:t>al.,</w:t>
      </w:r>
      <w:proofErr w:type="gramEnd"/>
      <w:r w:rsidR="00427BE4">
        <w:rPr>
          <w:lang w:val="fr-FR"/>
        </w:rPr>
        <w:t xml:space="preserve"> 2018).</w:t>
      </w:r>
      <w:r w:rsidR="00573BDA">
        <w:rPr>
          <w:lang w:val="fr-FR"/>
        </w:rPr>
        <w:t xml:space="preserve"> </w:t>
      </w:r>
      <w:r w:rsidR="002601BE">
        <w:rPr>
          <w:lang w:val="fr-FR"/>
        </w:rPr>
        <w:t>Trois explications sont généralement avancées</w:t>
      </w:r>
      <w:r w:rsidR="00573BDA">
        <w:rPr>
          <w:lang w:val="fr-FR"/>
        </w:rPr>
        <w:t xml:space="preserve"> : l’effet rebond direct, typiquement de l’ordre de 20% pour les consommations du chauffage (Sorrell et </w:t>
      </w:r>
      <w:proofErr w:type="gramStart"/>
      <w:r w:rsidR="00573BDA">
        <w:rPr>
          <w:lang w:val="fr-FR"/>
        </w:rPr>
        <w:t>al.,</w:t>
      </w:r>
      <w:proofErr w:type="gramEnd"/>
      <w:r w:rsidR="00573BDA">
        <w:rPr>
          <w:lang w:val="fr-FR"/>
        </w:rPr>
        <w:t xml:space="preserve"> 2009) ; l’écart entre les hypothèses normatives des modèles de simulation et les conditions réelles d’utilisation, parfois désigné sous le terme de </w:t>
      </w:r>
      <w:r w:rsidR="00573BDA" w:rsidRPr="005E0E66">
        <w:rPr>
          <w:i/>
          <w:lang w:val="fr-FR"/>
        </w:rPr>
        <w:t>pre-bound effect</w:t>
      </w:r>
      <w:r w:rsidR="00573BDA">
        <w:rPr>
          <w:lang w:val="fr-FR"/>
        </w:rPr>
        <w:t xml:space="preserve"> (</w:t>
      </w:r>
      <w:r w:rsidR="00164306">
        <w:rPr>
          <w:lang w:val="fr-FR"/>
        </w:rPr>
        <w:t xml:space="preserve">Sunikka-Blank et </w:t>
      </w:r>
      <w:r w:rsidR="00573BDA">
        <w:rPr>
          <w:lang w:val="fr-FR"/>
        </w:rPr>
        <w:t>Galvin</w:t>
      </w:r>
      <w:r w:rsidR="00164306">
        <w:rPr>
          <w:lang w:val="fr-FR"/>
        </w:rPr>
        <w:t>, 2012) ; et les asymétries d’information à l’origine d’une mauvaise qualité d’exécution des travaux (Giraudet et al., 2018).</w:t>
      </w:r>
    </w:p>
    <w:p w14:paraId="67F9D52B" w14:textId="6F26FE8C" w:rsidR="009A0DEB" w:rsidRDefault="00C56C73" w:rsidP="00792912">
      <w:pPr>
        <w:keepNext/>
        <w:rPr>
          <w:lang w:val="fr-FR"/>
        </w:rPr>
      </w:pPr>
      <w:r>
        <w:rPr>
          <w:lang w:val="fr-FR"/>
        </w:rPr>
        <w:t>L’écart de performance</w:t>
      </w:r>
      <w:r w:rsidR="00FB5457">
        <w:rPr>
          <w:lang w:val="fr-FR"/>
        </w:rPr>
        <w:t xml:space="preserve"> est pris en compte dans le modèle par une double comptabilité de la consommation d’énergie – réelle (telle qu’indiquée par les factures d’énergie) et conventionnelle (</w:t>
      </w:r>
      <w:r>
        <w:rPr>
          <w:lang w:val="fr-FR"/>
        </w:rPr>
        <w:t xml:space="preserve">donnée par l’étiquette DPE). </w:t>
      </w:r>
      <w:r w:rsidR="00792912">
        <w:rPr>
          <w:lang w:val="fr-FR"/>
        </w:rPr>
        <w:t>Le ratio entre les deux est interprété comme l</w:t>
      </w:r>
      <w:r w:rsidR="00C44DD1">
        <w:rPr>
          <w:lang w:val="fr-FR"/>
        </w:rPr>
        <w:t>’</w:t>
      </w:r>
      <w:r w:rsidR="00CF3CBD" w:rsidRPr="00CF3CBD">
        <w:rPr>
          <w:lang w:val="fr-FR"/>
        </w:rPr>
        <w:t xml:space="preserve">intensité avec laquelle les occupants </w:t>
      </w:r>
      <w:r w:rsidR="00C44DD1">
        <w:rPr>
          <w:lang w:val="fr-FR"/>
        </w:rPr>
        <w:t xml:space="preserve">– </w:t>
      </w:r>
      <w:r w:rsidR="00CF3CBD" w:rsidRPr="00CF3CBD">
        <w:rPr>
          <w:lang w:val="fr-FR"/>
        </w:rPr>
        <w:t>propriétaires-occupants et locataires</w:t>
      </w:r>
      <w:r w:rsidR="00C44DD1">
        <w:rPr>
          <w:lang w:val="fr-FR"/>
        </w:rPr>
        <w:t xml:space="preserve"> – </w:t>
      </w:r>
      <w:r w:rsidR="00616C0F">
        <w:rPr>
          <w:lang w:val="fr-FR"/>
        </w:rPr>
        <w:t>utilisent leur infrastructure de chauffage</w:t>
      </w:r>
      <w:r w:rsidR="00546401">
        <w:rPr>
          <w:lang w:val="fr-FR"/>
        </w:rPr>
        <w:t xml:space="preserve">. Il évolue </w:t>
      </w:r>
      <w:r w:rsidR="00CF3CBD" w:rsidRPr="00CF3CBD">
        <w:rPr>
          <w:lang w:val="fr-FR"/>
        </w:rPr>
        <w:t xml:space="preserve">de façon endogène </w:t>
      </w:r>
      <w:r w:rsidR="00546401">
        <w:rPr>
          <w:lang w:val="fr-FR"/>
        </w:rPr>
        <w:t xml:space="preserve">sous l’influence de </w:t>
      </w:r>
      <w:r w:rsidR="00CF3CBD" w:rsidRPr="00CF3CBD">
        <w:rPr>
          <w:lang w:val="fr-FR"/>
        </w:rPr>
        <w:t>trois variables : le prix de l'énergie, l</w:t>
      </w:r>
      <w:r w:rsidR="00772C71">
        <w:rPr>
          <w:lang w:val="fr-FR"/>
        </w:rPr>
        <w:t>’</w:t>
      </w:r>
      <w:r w:rsidR="00CF3CBD" w:rsidRPr="00CF3CBD">
        <w:rPr>
          <w:lang w:val="fr-FR"/>
        </w:rPr>
        <w:t>efficacité énergétique du logement</w:t>
      </w:r>
      <w:r w:rsidR="00772C71">
        <w:rPr>
          <w:lang w:val="fr-FR"/>
        </w:rPr>
        <w:t xml:space="preserve"> (</w:t>
      </w:r>
      <w:r w:rsidR="00CF3CBD" w:rsidRPr="00CF3CBD">
        <w:rPr>
          <w:lang w:val="fr-FR"/>
        </w:rPr>
        <w:t xml:space="preserve">mesurée par son </w:t>
      </w:r>
      <w:r w:rsidR="00316999">
        <w:rPr>
          <w:lang w:val="fr-FR"/>
        </w:rPr>
        <w:t>étiquette</w:t>
      </w:r>
      <w:r w:rsidR="00CF3CBD" w:rsidRPr="00CF3CBD">
        <w:rPr>
          <w:lang w:val="fr-FR"/>
        </w:rPr>
        <w:t xml:space="preserve"> </w:t>
      </w:r>
      <w:r w:rsidR="00CA3302">
        <w:rPr>
          <w:lang w:val="fr-FR"/>
        </w:rPr>
        <w:t>DPE</w:t>
      </w:r>
      <w:r w:rsidR="00772C71">
        <w:rPr>
          <w:lang w:val="fr-FR"/>
        </w:rPr>
        <w:t>)</w:t>
      </w:r>
      <w:r w:rsidR="00CF3CBD" w:rsidRPr="00CF3CBD">
        <w:rPr>
          <w:lang w:val="fr-FR"/>
        </w:rPr>
        <w:t xml:space="preserve"> et le revenu du ménage occupant. </w:t>
      </w:r>
      <w:r w:rsidR="009A0DEB">
        <w:rPr>
          <w:lang w:val="fr-FR"/>
        </w:rPr>
        <w:t xml:space="preserve">Cette relation est déterminée par une fonction </w:t>
      </w:r>
      <w:r w:rsidR="00CF3CBD" w:rsidRPr="00CF3CBD">
        <w:rPr>
          <w:lang w:val="fr-FR"/>
        </w:rPr>
        <w:t xml:space="preserve">iso-élastique négative </w:t>
      </w:r>
      <w:r w:rsidR="009A0DEB">
        <w:rPr>
          <w:lang w:val="fr-FR"/>
        </w:rPr>
        <w:t xml:space="preserve">reliant </w:t>
      </w:r>
      <w:r w:rsidR="00CF3CBD" w:rsidRPr="00CF3CBD">
        <w:rPr>
          <w:lang w:val="fr-FR"/>
        </w:rPr>
        <w:t xml:space="preserve"> </w:t>
      </w:r>
      <w:r w:rsidR="009A0DEB">
        <w:rPr>
          <w:lang w:val="fr-FR"/>
        </w:rPr>
        <w:t>l’</w:t>
      </w:r>
      <w:r w:rsidR="00CF3CBD" w:rsidRPr="00CF3CBD">
        <w:rPr>
          <w:lang w:val="fr-FR"/>
        </w:rPr>
        <w:t xml:space="preserve">intensité du chauffage </w:t>
      </w:r>
      <w:r w:rsidR="009A0DEB">
        <w:rPr>
          <w:lang w:val="fr-FR"/>
        </w:rPr>
        <w:t xml:space="preserve">à </w:t>
      </w:r>
      <w:r w:rsidR="00CF3CBD" w:rsidRPr="00CF3CBD">
        <w:rPr>
          <w:lang w:val="fr-FR"/>
        </w:rPr>
        <w:t>la part du revenu du ménage consacrée au chauffage</w:t>
      </w:r>
      <w:r w:rsidR="009A0DEB">
        <w:rPr>
          <w:lang w:val="fr-FR"/>
        </w:rPr>
        <w:t xml:space="preserve">, </w:t>
      </w:r>
      <w:r w:rsidR="00C133C8">
        <w:rPr>
          <w:lang w:val="fr-FR"/>
        </w:rPr>
        <w:t xml:space="preserve">en reprenant une estimation de </w:t>
      </w:r>
      <w:r w:rsidR="00CF3CBD" w:rsidRPr="00CF3CBD">
        <w:rPr>
          <w:lang w:val="fr-FR"/>
        </w:rPr>
        <w:t>Cayla et Osso (2013)</w:t>
      </w:r>
      <w:r w:rsidR="009A0DEB">
        <w:rPr>
          <w:lang w:val="fr-FR"/>
        </w:rPr>
        <w:t> :</w:t>
      </w:r>
    </w:p>
    <w:p w14:paraId="1705BE68" w14:textId="2D18910D" w:rsidR="009A0DEB" w:rsidRDefault="009A0DEB" w:rsidP="00CF3CBD">
      <w:pPr>
        <w:keepNext/>
        <w:rPr>
          <w:lang w:val="fr-FR"/>
        </w:rPr>
      </w:pPr>
      <m:oMathPara>
        <m:oMath>
          <m:r>
            <w:rPr>
              <w:rFonts w:ascii="Cambria Math" w:hAnsi="Cambria Math"/>
            </w:rPr>
            <m:t>Intensité d'utilisation</m:t>
          </m:r>
          <m:r>
            <w:rPr>
              <w:rFonts w:ascii="Cambria Math" w:hAnsi="Cambria Math"/>
              <w:lang w:val="fr-FR"/>
            </w:rPr>
            <m:t>=</m:t>
          </m:r>
          <m:r>
            <w:rPr>
              <w:rFonts w:ascii="Cambria Math" w:hAnsi="Cambria Math"/>
            </w:rPr>
            <m:t>-0,191*</m:t>
          </m:r>
          <m:r>
            <m:rPr>
              <m:sty m:val="p"/>
            </m:rPr>
            <w:rPr>
              <w:rFonts w:ascii="Cambria Math" w:hAnsi="Cambria Math"/>
            </w:rPr>
            <m:t>log⁡</m:t>
          </m:r>
          <m:r>
            <w:rPr>
              <w:rFonts w:ascii="Cambria Math" w:hAnsi="Cambria Math"/>
            </w:rPr>
            <m:t>(Part budgétaire)</m:t>
          </m:r>
          <m:r>
            <w:rPr>
              <w:rFonts w:ascii="Cambria Math" w:hAnsi="Cambria Math"/>
              <w:lang w:val="fr-FR"/>
            </w:rPr>
            <m:t>+</m:t>
          </m:r>
          <m:r>
            <w:rPr>
              <w:rFonts w:ascii="Cambria Math" w:hAnsi="Cambria Math"/>
            </w:rPr>
            <m:t>0,1105</m:t>
          </m:r>
        </m:oMath>
      </m:oMathPara>
    </w:p>
    <w:p w14:paraId="5999CC38" w14:textId="708B39C2" w:rsidR="00CF3CBD" w:rsidRPr="00CA3302" w:rsidRDefault="0066340A" w:rsidP="005C6CDC">
      <w:pPr>
        <w:rPr>
          <w:lang w:val="fr-FR"/>
        </w:rPr>
      </w:pPr>
      <w:r>
        <w:rPr>
          <w:lang w:val="fr-FR"/>
        </w:rPr>
        <w:t xml:space="preserve">D’après cette relation, </w:t>
      </w:r>
      <w:r w:rsidR="00CF3CBD" w:rsidRPr="00CF3CBD">
        <w:rPr>
          <w:lang w:val="fr-FR"/>
        </w:rPr>
        <w:t xml:space="preserve">une amélioration de l'efficacité </w:t>
      </w:r>
      <w:r w:rsidR="00772C71">
        <w:rPr>
          <w:lang w:val="fr-FR"/>
        </w:rPr>
        <w:t xml:space="preserve">énergétique </w:t>
      </w:r>
      <w:r w:rsidR="0055368B">
        <w:rPr>
          <w:lang w:val="fr-FR"/>
        </w:rPr>
        <w:t>génère une augmentation de l’</w:t>
      </w:r>
      <w:r w:rsidR="00757F6F">
        <w:rPr>
          <w:lang w:val="fr-FR"/>
        </w:rPr>
        <w:t>intensité de chauffage</w:t>
      </w:r>
      <w:r w:rsidR="00E9466D">
        <w:rPr>
          <w:lang w:val="fr-FR"/>
        </w:rPr>
        <w:t>, processus</w:t>
      </w:r>
      <w:r w:rsidR="0055368B">
        <w:rPr>
          <w:lang w:val="fr-FR"/>
        </w:rPr>
        <w:t xml:space="preserve"> qui peut s’interpréter </w:t>
      </w:r>
      <w:r w:rsidR="00CF3CBD" w:rsidRPr="00CF3CBD">
        <w:rPr>
          <w:lang w:val="fr-FR"/>
        </w:rPr>
        <w:t>comme un effet de rebond</w:t>
      </w:r>
      <w:r w:rsidR="0055596D">
        <w:rPr>
          <w:lang w:val="fr-FR"/>
        </w:rPr>
        <w:t xml:space="preserve"> (cf. Aydin et </w:t>
      </w:r>
      <w:proofErr w:type="gramStart"/>
      <w:r w:rsidR="0055596D">
        <w:rPr>
          <w:lang w:val="fr-FR"/>
        </w:rPr>
        <w:t>al.,</w:t>
      </w:r>
      <w:proofErr w:type="gramEnd"/>
      <w:r w:rsidR="0055596D">
        <w:rPr>
          <w:lang w:val="fr-FR"/>
        </w:rPr>
        <w:t xml:space="preserve"> 2017)</w:t>
      </w:r>
      <w:r w:rsidR="00CF3CBD" w:rsidRPr="00CF3CBD">
        <w:rPr>
          <w:lang w:val="fr-FR"/>
        </w:rPr>
        <w:t>.</w:t>
      </w:r>
      <w:r w:rsidR="00B965F5">
        <w:rPr>
          <w:lang w:val="fr-FR"/>
        </w:rPr>
        <w:t xml:space="preserve"> </w:t>
      </w:r>
      <w:r>
        <w:rPr>
          <w:lang w:val="fr-FR"/>
        </w:rPr>
        <w:t>Cette relation contribue également à l’élasticité-prix et à l’élasticité-revenu de la demande d’énergie du modèle.</w:t>
      </w:r>
      <w:r w:rsidR="00D32DED">
        <w:rPr>
          <w:lang w:val="fr-FR"/>
        </w:rPr>
        <w:t xml:space="preserve"> En l’absence de données empiriques </w:t>
      </w:r>
      <w:r w:rsidR="001C3349">
        <w:rPr>
          <w:lang w:val="fr-FR"/>
        </w:rPr>
        <w:t>systématiques</w:t>
      </w:r>
      <w:r w:rsidR="00D32DED">
        <w:rPr>
          <w:lang w:val="fr-FR"/>
        </w:rPr>
        <w:t xml:space="preserve"> sur le</w:t>
      </w:r>
      <w:r w:rsidR="00951081">
        <w:rPr>
          <w:lang w:val="fr-FR"/>
        </w:rPr>
        <w:t xml:space="preserve"> </w:t>
      </w:r>
      <w:r w:rsidR="00951081" w:rsidRPr="005E0E66">
        <w:rPr>
          <w:i/>
          <w:lang w:val="fr-FR"/>
        </w:rPr>
        <w:t>pre-bound effect</w:t>
      </w:r>
      <w:r w:rsidR="00951081">
        <w:rPr>
          <w:lang w:val="fr-FR"/>
        </w:rPr>
        <w:t xml:space="preserve"> et les problèmes de qualité</w:t>
      </w:r>
      <w:r w:rsidR="00D32DED">
        <w:rPr>
          <w:lang w:val="fr-FR"/>
        </w:rPr>
        <w:t xml:space="preserve">, ces effets sont les seuls déterminants </w:t>
      </w:r>
      <w:proofErr w:type="gramStart"/>
      <w:r w:rsidR="00D32DED">
        <w:rPr>
          <w:lang w:val="fr-FR"/>
        </w:rPr>
        <w:t>du</w:t>
      </w:r>
      <w:proofErr w:type="gramEnd"/>
      <w:r w:rsidR="00D32DED">
        <w:rPr>
          <w:lang w:val="fr-FR"/>
        </w:rPr>
        <w:t xml:space="preserve"> </w:t>
      </w:r>
      <w:r w:rsidR="00D32DED" w:rsidRPr="005E0E66">
        <w:rPr>
          <w:i/>
          <w:lang w:val="fr-FR"/>
        </w:rPr>
        <w:t>performance gap</w:t>
      </w:r>
      <w:r w:rsidR="00D32DED">
        <w:rPr>
          <w:lang w:val="fr-FR"/>
        </w:rPr>
        <w:t xml:space="preserve"> pris en compte dans le modèle.</w:t>
      </w:r>
    </w:p>
    <w:p w14:paraId="1C9DD308" w14:textId="67364E78" w:rsidR="009F504F" w:rsidRPr="00CF3CBD" w:rsidRDefault="007A3A9E" w:rsidP="00CF3CBD">
      <w:pPr>
        <w:pStyle w:val="Titre1"/>
        <w:rPr>
          <w:lang w:val="fr-FR"/>
        </w:rPr>
      </w:pPr>
      <w:r>
        <w:rPr>
          <w:lang w:val="fr-FR"/>
        </w:rPr>
        <w:t>Méthode d’évaluation</w:t>
      </w:r>
    </w:p>
    <w:p w14:paraId="6DB5A522" w14:textId="6A51C2AD" w:rsidR="00EA0091" w:rsidRPr="007E2516" w:rsidRDefault="007A3A9E" w:rsidP="007C7689">
      <w:pPr>
        <w:pStyle w:val="Titre2"/>
        <w:rPr>
          <w:lang w:val="en-GB"/>
        </w:rPr>
      </w:pPr>
      <w:r>
        <w:rPr>
          <w:lang w:val="en-GB"/>
        </w:rPr>
        <w:t>Scénario de référence</w:t>
      </w:r>
    </w:p>
    <w:p w14:paraId="6C8CF146" w14:textId="26DC37EA" w:rsidR="001B4252" w:rsidRPr="00362372" w:rsidRDefault="00362372" w:rsidP="001B4252">
      <w:pPr>
        <w:rPr>
          <w:lang w:val="fr-FR"/>
        </w:rPr>
      </w:pPr>
      <w:r w:rsidRPr="00362372">
        <w:rPr>
          <w:lang w:val="fr-FR"/>
        </w:rPr>
        <w:t xml:space="preserve">Comme </w:t>
      </w:r>
      <w:r w:rsidR="004B1BE4">
        <w:rPr>
          <w:lang w:val="fr-FR"/>
        </w:rPr>
        <w:t>exposé</w:t>
      </w:r>
      <w:r w:rsidRPr="00362372">
        <w:rPr>
          <w:lang w:val="fr-FR"/>
        </w:rPr>
        <w:t xml:space="preserve"> précédemment, le modèle est alimenté par </w:t>
      </w:r>
      <w:r w:rsidR="004B1BE4">
        <w:rPr>
          <w:lang w:val="fr-FR"/>
        </w:rPr>
        <w:t xml:space="preserve">un scénario de croissance de la population de </w:t>
      </w:r>
      <w:r w:rsidRPr="00362372">
        <w:rPr>
          <w:lang w:val="fr-FR"/>
        </w:rPr>
        <w:t>0,3 % par an</w:t>
      </w:r>
      <w:r w:rsidR="004B1BE4">
        <w:rPr>
          <w:lang w:val="fr-FR"/>
        </w:rPr>
        <w:t xml:space="preserve"> et un scénario de croissance du </w:t>
      </w:r>
      <w:r w:rsidRPr="00362372">
        <w:rPr>
          <w:lang w:val="fr-FR"/>
        </w:rPr>
        <w:t>revenu des ménages de 1,2 % par an</w:t>
      </w:r>
      <w:r w:rsidR="004B1BE4">
        <w:rPr>
          <w:lang w:val="fr-FR"/>
        </w:rPr>
        <w:t xml:space="preserve">. Une troisième variable d’entrée détermine la dynamique du modèle : </w:t>
      </w:r>
      <w:r w:rsidRPr="00362372">
        <w:rPr>
          <w:lang w:val="fr-FR"/>
        </w:rPr>
        <w:t>les prix de</w:t>
      </w:r>
      <w:r w:rsidR="004B1BE4">
        <w:rPr>
          <w:lang w:val="fr-FR"/>
        </w:rPr>
        <w:t>s</w:t>
      </w:r>
      <w:r w:rsidRPr="00362372">
        <w:rPr>
          <w:lang w:val="fr-FR"/>
        </w:rPr>
        <w:t xml:space="preserve"> énergie</w:t>
      </w:r>
      <w:r w:rsidR="004B1BE4">
        <w:rPr>
          <w:lang w:val="fr-FR"/>
        </w:rPr>
        <w:t xml:space="preserve">s. Ceux-ci sont basés sur un scénario défini par les autorités françaises </w:t>
      </w:r>
      <w:r w:rsidRPr="00362372">
        <w:rPr>
          <w:lang w:val="fr-FR"/>
        </w:rPr>
        <w:t>(A</w:t>
      </w:r>
      <w:r w:rsidR="002621C0">
        <w:rPr>
          <w:lang w:val="fr-FR"/>
        </w:rPr>
        <w:t>deme</w:t>
      </w:r>
      <w:r w:rsidRPr="00362372">
        <w:rPr>
          <w:lang w:val="fr-FR"/>
        </w:rPr>
        <w:t xml:space="preserve"> et DGEC)</w:t>
      </w:r>
      <w:r w:rsidR="004B1BE4">
        <w:rPr>
          <w:lang w:val="fr-FR"/>
        </w:rPr>
        <w:t xml:space="preserve">, correspondant à un taux de croissance annuel moyen de </w:t>
      </w:r>
      <w:r w:rsidRPr="00362372">
        <w:rPr>
          <w:lang w:val="fr-FR"/>
        </w:rPr>
        <w:t xml:space="preserve">1,4 % pour le gaz naturel, 2,2 % pour le </w:t>
      </w:r>
      <w:r w:rsidR="009A1520">
        <w:rPr>
          <w:lang w:val="fr-FR"/>
        </w:rPr>
        <w:t>fioul domestique</w:t>
      </w:r>
      <w:r w:rsidRPr="00362372">
        <w:rPr>
          <w:lang w:val="fr-FR"/>
        </w:rPr>
        <w:t>, 1,1 % pour l'électricité et 1,2 % pour le bois</w:t>
      </w:r>
      <w:r w:rsidR="00357144">
        <w:rPr>
          <w:lang w:val="fr-FR"/>
        </w:rPr>
        <w:t>-énergie (Figure 2</w:t>
      </w:r>
      <w:r w:rsidR="004B1BE4">
        <w:rPr>
          <w:lang w:val="fr-FR"/>
        </w:rPr>
        <w:t>), soit une évolution annuelle moyenne de l’indice de prix des énergies de 1,5%.</w:t>
      </w:r>
    </w:p>
    <w:p w14:paraId="7611083B" w14:textId="1D1BF11B" w:rsidR="004218B6" w:rsidRPr="00C912D0" w:rsidRDefault="00CF63DC" w:rsidP="004218B6">
      <w:pPr>
        <w:keepNext/>
        <w:jc w:val="center"/>
        <w:rPr>
          <w:lang w:val="en-GB"/>
        </w:rPr>
      </w:pPr>
      <w:r>
        <w:rPr>
          <w:noProof/>
        </w:rPr>
        <w:lastRenderedPageBreak/>
        <w:drawing>
          <wp:inline distT="0" distB="0" distL="0" distR="0" wp14:anchorId="53FD56C6" wp14:editId="38F6CC16">
            <wp:extent cx="4191000" cy="251477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3972" cy="2516562"/>
                    </a:xfrm>
                    <a:prstGeom prst="rect">
                      <a:avLst/>
                    </a:prstGeom>
                    <a:noFill/>
                    <a:ln>
                      <a:noFill/>
                    </a:ln>
                    <a:effectLst/>
                    <a:extLst/>
                  </pic:spPr>
                </pic:pic>
              </a:graphicData>
            </a:graphic>
          </wp:inline>
        </w:drawing>
      </w:r>
    </w:p>
    <w:p w14:paraId="71FB1C04" w14:textId="6818162A" w:rsidR="0080136A" w:rsidRPr="0080136A" w:rsidRDefault="004218B6" w:rsidP="0080136A">
      <w:pPr>
        <w:pStyle w:val="Lgende"/>
        <w:jc w:val="center"/>
        <w:rPr>
          <w:lang w:val="fr-FR"/>
        </w:rPr>
      </w:pPr>
      <w:r w:rsidRPr="00CB0E73">
        <w:rPr>
          <w:lang w:val="fr-FR"/>
        </w:rPr>
        <w:t xml:space="preserve">Figure </w:t>
      </w:r>
      <w:r w:rsidR="005771E8" w:rsidRPr="00C912D0">
        <w:rPr>
          <w:lang w:val="en-GB"/>
        </w:rPr>
        <w:fldChar w:fldCharType="begin"/>
      </w:r>
      <w:r w:rsidR="005771E8" w:rsidRPr="00CB0E73">
        <w:rPr>
          <w:lang w:val="fr-FR"/>
        </w:rPr>
        <w:instrText xml:space="preserve"> SEQ Figure \* ARABIC </w:instrText>
      </w:r>
      <w:r w:rsidR="005771E8" w:rsidRPr="00C912D0">
        <w:rPr>
          <w:lang w:val="en-GB"/>
        </w:rPr>
        <w:fldChar w:fldCharType="separate"/>
      </w:r>
      <w:r w:rsidR="000D3843">
        <w:rPr>
          <w:noProof/>
          <w:lang w:val="fr-FR"/>
        </w:rPr>
        <w:t>2</w:t>
      </w:r>
      <w:r w:rsidR="005771E8" w:rsidRPr="00C912D0">
        <w:rPr>
          <w:noProof/>
          <w:lang w:val="en-GB"/>
        </w:rPr>
        <w:fldChar w:fldCharType="end"/>
      </w:r>
      <w:r w:rsidRPr="00CB0E73">
        <w:rPr>
          <w:lang w:val="fr-FR"/>
        </w:rPr>
        <w:t xml:space="preserve">: </w:t>
      </w:r>
      <w:r w:rsidR="00CB0E73">
        <w:rPr>
          <w:lang w:val="fr-FR"/>
        </w:rPr>
        <w:t>Scénario de prix des énergies (hors taxe carbone)</w:t>
      </w:r>
    </w:p>
    <w:p w14:paraId="6E232383" w14:textId="453FAFF2" w:rsidR="00231511" w:rsidRPr="00C912D0" w:rsidRDefault="00362372" w:rsidP="007C7689">
      <w:pPr>
        <w:pStyle w:val="Titre2"/>
        <w:rPr>
          <w:lang w:val="en-GB"/>
        </w:rPr>
      </w:pPr>
      <w:r>
        <w:rPr>
          <w:lang w:val="en-GB"/>
        </w:rPr>
        <w:t>Paramétrage des politiques</w:t>
      </w:r>
    </w:p>
    <w:p w14:paraId="5A5D4885" w14:textId="2833CB81" w:rsidR="00362372" w:rsidRDefault="0045598F" w:rsidP="00362372">
      <w:pPr>
        <w:rPr>
          <w:lang w:val="fr-FR"/>
        </w:rPr>
      </w:pPr>
      <w:r>
        <w:rPr>
          <w:lang w:val="fr-FR"/>
        </w:rPr>
        <w:t xml:space="preserve">L’étude se concentre sur les </w:t>
      </w:r>
      <w:r w:rsidR="00362372" w:rsidRPr="00362372">
        <w:rPr>
          <w:lang w:val="fr-FR"/>
        </w:rPr>
        <w:t xml:space="preserve">politiques </w:t>
      </w:r>
      <w:r>
        <w:rPr>
          <w:lang w:val="fr-FR"/>
        </w:rPr>
        <w:t xml:space="preserve">de rénovation énergétique à la </w:t>
      </w:r>
      <w:r w:rsidR="00362372" w:rsidRPr="00362372">
        <w:rPr>
          <w:lang w:val="fr-FR"/>
        </w:rPr>
        <w:t xml:space="preserve">couverture la plus large. Pour chaque politique, </w:t>
      </w:r>
      <w:r w:rsidR="0027311F">
        <w:rPr>
          <w:lang w:val="fr-FR"/>
        </w:rPr>
        <w:t>deux</w:t>
      </w:r>
      <w:r w:rsidR="0027311F" w:rsidRPr="00362372">
        <w:rPr>
          <w:lang w:val="fr-FR"/>
        </w:rPr>
        <w:t xml:space="preserve"> </w:t>
      </w:r>
      <w:r>
        <w:rPr>
          <w:lang w:val="fr-FR"/>
        </w:rPr>
        <w:t>cas sont considérés</w:t>
      </w:r>
      <w:r w:rsidR="00362372" w:rsidRPr="00362372">
        <w:rPr>
          <w:lang w:val="fr-FR"/>
        </w:rPr>
        <w:t xml:space="preserve"> : la variante de référence et une variante plus </w:t>
      </w:r>
      <w:r>
        <w:rPr>
          <w:lang w:val="fr-FR"/>
        </w:rPr>
        <w:t>ambitieuse</w:t>
      </w:r>
      <w:r w:rsidR="00362372" w:rsidRPr="00362372">
        <w:rPr>
          <w:lang w:val="fr-FR"/>
        </w:rPr>
        <w:t xml:space="preserve">, </w:t>
      </w:r>
      <w:r>
        <w:rPr>
          <w:lang w:val="fr-FR"/>
        </w:rPr>
        <w:t>référencée « + »</w:t>
      </w:r>
      <w:r w:rsidR="00362372" w:rsidRPr="00362372">
        <w:rPr>
          <w:lang w:val="fr-FR"/>
        </w:rPr>
        <w:t>. Le</w:t>
      </w:r>
      <w:r w:rsidR="00244873">
        <w:rPr>
          <w:lang w:val="fr-FR"/>
        </w:rPr>
        <w:t xml:space="preserve"> paramétrage </w:t>
      </w:r>
      <w:r w:rsidR="00362372" w:rsidRPr="00362372">
        <w:rPr>
          <w:lang w:val="fr-FR"/>
        </w:rPr>
        <w:t xml:space="preserve">des politiques </w:t>
      </w:r>
      <w:r w:rsidR="00244873">
        <w:rPr>
          <w:lang w:val="fr-FR"/>
        </w:rPr>
        <w:t>est résumé</w:t>
      </w:r>
      <w:r w:rsidR="00362372" w:rsidRPr="00362372">
        <w:rPr>
          <w:lang w:val="fr-FR"/>
        </w:rPr>
        <w:t xml:space="preserve"> </w:t>
      </w:r>
      <w:r w:rsidR="00244873">
        <w:rPr>
          <w:lang w:val="fr-FR"/>
        </w:rPr>
        <w:t>dans le T</w:t>
      </w:r>
      <w:r w:rsidR="00362372" w:rsidRPr="00362372">
        <w:rPr>
          <w:lang w:val="fr-FR"/>
        </w:rPr>
        <w:t>ableau 4.</w:t>
      </w:r>
    </w:p>
    <w:p w14:paraId="6F4CD4E3" w14:textId="7CA510E5" w:rsidR="001F20B6" w:rsidRPr="00286E45" w:rsidRDefault="001F20B6" w:rsidP="001F20B6">
      <w:pPr>
        <w:pStyle w:val="Lgende"/>
        <w:keepNext/>
        <w:rPr>
          <w:lang w:val="fr-FR"/>
        </w:rPr>
      </w:pPr>
      <w:r w:rsidRPr="00286E45">
        <w:rPr>
          <w:lang w:val="fr-FR"/>
        </w:rPr>
        <w:t xml:space="preserve">Tableau </w:t>
      </w:r>
      <w:r w:rsidRPr="001F20B6">
        <w:rPr>
          <w:lang w:val="fr-FR"/>
        </w:rPr>
        <w:t>4</w:t>
      </w:r>
      <w:r w:rsidRPr="00266D89">
        <w:rPr>
          <w:lang w:val="fr-FR"/>
        </w:rPr>
        <w:t>: Principaux éléments de param</w:t>
      </w:r>
      <w:r>
        <w:rPr>
          <w:lang w:val="fr-FR"/>
        </w:rPr>
        <w:t>é</w:t>
      </w:r>
      <w:r w:rsidRPr="00286E45">
        <w:rPr>
          <w:lang w:val="fr-FR"/>
        </w:rPr>
        <w:t>trage</w:t>
      </w:r>
      <w:r w:rsidRPr="00286E45">
        <w:rPr>
          <w:noProof/>
          <w:lang w:val="fr-FR"/>
        </w:rPr>
        <w:t xml:space="preserve"> des instruments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242"/>
        <w:gridCol w:w="4111"/>
        <w:gridCol w:w="4269"/>
      </w:tblGrid>
      <w:tr w:rsidR="001F20B6" w:rsidRPr="009F1DD9" w14:paraId="4CF86ABB" w14:textId="77777777" w:rsidTr="00407446">
        <w:tc>
          <w:tcPr>
            <w:tcW w:w="1242" w:type="dxa"/>
          </w:tcPr>
          <w:p w14:paraId="7190096A" w14:textId="77777777" w:rsidR="001F20B6" w:rsidRPr="00566AAC" w:rsidRDefault="001F20B6" w:rsidP="00407446">
            <w:pPr>
              <w:rPr>
                <w:sz w:val="18"/>
                <w:szCs w:val="18"/>
                <w:lang w:val="fr-FR"/>
              </w:rPr>
            </w:pPr>
          </w:p>
        </w:tc>
        <w:tc>
          <w:tcPr>
            <w:tcW w:w="4111" w:type="dxa"/>
          </w:tcPr>
          <w:p w14:paraId="3DC61893" w14:textId="77777777" w:rsidR="001F20B6" w:rsidRPr="00566AAC" w:rsidRDefault="001F20B6" w:rsidP="00407446">
            <w:pPr>
              <w:jc w:val="center"/>
              <w:rPr>
                <w:sz w:val="18"/>
                <w:szCs w:val="18"/>
                <w:lang w:val="fr-FR"/>
              </w:rPr>
            </w:pPr>
            <w:r w:rsidRPr="00566AAC">
              <w:rPr>
                <w:rFonts w:ascii="Calibri" w:hAnsi="Calibri" w:cs="Arial"/>
                <w:b/>
                <w:bCs/>
                <w:kern w:val="24"/>
                <w:sz w:val="18"/>
                <w:szCs w:val="18"/>
                <w:lang w:val="fr-FR"/>
              </w:rPr>
              <w:t>Variante T</w:t>
            </w:r>
            <w:r>
              <w:rPr>
                <w:rFonts w:ascii="Calibri" w:hAnsi="Calibri" w:cs="Arial"/>
                <w:b/>
                <w:bCs/>
                <w:kern w:val="24"/>
                <w:sz w:val="18"/>
                <w:szCs w:val="18"/>
                <w:lang w:val="fr-FR"/>
              </w:rPr>
              <w:t>P</w:t>
            </w:r>
          </w:p>
        </w:tc>
        <w:tc>
          <w:tcPr>
            <w:tcW w:w="4269" w:type="dxa"/>
          </w:tcPr>
          <w:p w14:paraId="73A99CFC" w14:textId="77777777" w:rsidR="001F20B6" w:rsidRPr="00566AAC" w:rsidRDefault="001F20B6" w:rsidP="00407446">
            <w:pPr>
              <w:jc w:val="center"/>
              <w:rPr>
                <w:sz w:val="18"/>
                <w:szCs w:val="18"/>
                <w:lang w:val="fr-FR"/>
              </w:rPr>
            </w:pPr>
            <w:r w:rsidRPr="00566AAC">
              <w:rPr>
                <w:rFonts w:ascii="Calibri" w:hAnsi="Calibri" w:cs="Arial"/>
                <w:b/>
                <w:bCs/>
                <w:kern w:val="24"/>
                <w:sz w:val="18"/>
                <w:szCs w:val="18"/>
                <w:lang w:val="fr-FR"/>
              </w:rPr>
              <w:t>Variante T</w:t>
            </w:r>
            <w:r>
              <w:rPr>
                <w:rFonts w:ascii="Calibri" w:hAnsi="Calibri" w:cs="Arial"/>
                <w:b/>
                <w:bCs/>
                <w:kern w:val="24"/>
                <w:sz w:val="18"/>
                <w:szCs w:val="18"/>
                <w:lang w:val="fr-FR"/>
              </w:rPr>
              <w:t>P</w:t>
            </w:r>
            <w:r w:rsidRPr="00566AAC">
              <w:rPr>
                <w:rFonts w:ascii="Calibri" w:hAnsi="Calibri" w:cs="Arial"/>
                <w:b/>
                <w:bCs/>
                <w:kern w:val="24"/>
                <w:sz w:val="18"/>
                <w:szCs w:val="18"/>
                <w:lang w:val="fr-FR"/>
              </w:rPr>
              <w:t>+</w:t>
            </w:r>
          </w:p>
        </w:tc>
      </w:tr>
      <w:tr w:rsidR="001F20B6" w:rsidRPr="009F1DD9" w14:paraId="08056CCE" w14:textId="77777777" w:rsidTr="00407446">
        <w:tc>
          <w:tcPr>
            <w:tcW w:w="1242" w:type="dxa"/>
          </w:tcPr>
          <w:p w14:paraId="71235316" w14:textId="77777777" w:rsidR="001F20B6" w:rsidRPr="00566AAC" w:rsidRDefault="001F20B6" w:rsidP="00407446">
            <w:pPr>
              <w:rPr>
                <w:sz w:val="18"/>
                <w:szCs w:val="18"/>
                <w:lang w:val="fr-FR"/>
              </w:rPr>
            </w:pPr>
            <w:r w:rsidRPr="00566AAC">
              <w:rPr>
                <w:rFonts w:ascii="Calibri" w:hAnsi="Calibri" w:cs="Arial"/>
                <w:b/>
                <w:bCs/>
                <w:kern w:val="24"/>
                <w:sz w:val="18"/>
                <w:szCs w:val="18"/>
                <w:lang w:val="fr-FR"/>
              </w:rPr>
              <w:t>CITE</w:t>
            </w:r>
          </w:p>
        </w:tc>
        <w:tc>
          <w:tcPr>
            <w:tcW w:w="4111" w:type="dxa"/>
          </w:tcPr>
          <w:p w14:paraId="733753F2" w14:textId="77777777" w:rsidR="001F20B6" w:rsidRPr="00566AAC" w:rsidRDefault="001F20B6" w:rsidP="00407446">
            <w:pPr>
              <w:jc w:val="center"/>
              <w:rPr>
                <w:sz w:val="18"/>
                <w:szCs w:val="18"/>
                <w:lang w:val="fr-FR"/>
              </w:rPr>
            </w:pPr>
            <w:r w:rsidRPr="00566AAC">
              <w:rPr>
                <w:rFonts w:ascii="Calibri" w:hAnsi="Calibri" w:cs="Arial"/>
                <w:kern w:val="24"/>
                <w:sz w:val="18"/>
                <w:szCs w:val="18"/>
                <w:lang w:val="fr-FR"/>
              </w:rPr>
              <w:t xml:space="preserve">Subvention 17%, </w:t>
            </w:r>
            <w:r>
              <w:rPr>
                <w:rFonts w:ascii="Calibri" w:hAnsi="Calibri" w:cs="Arial"/>
                <w:kern w:val="24"/>
                <w:sz w:val="18"/>
                <w:szCs w:val="18"/>
                <w:lang w:val="fr-FR"/>
              </w:rPr>
              <w:t>uniforme</w:t>
            </w:r>
          </w:p>
        </w:tc>
        <w:tc>
          <w:tcPr>
            <w:tcW w:w="4269" w:type="dxa"/>
          </w:tcPr>
          <w:p w14:paraId="2C9C6CC4" w14:textId="77777777" w:rsidR="001F20B6" w:rsidRPr="00566AAC" w:rsidRDefault="001F20B6" w:rsidP="00407446">
            <w:pPr>
              <w:jc w:val="center"/>
              <w:rPr>
                <w:sz w:val="18"/>
                <w:szCs w:val="18"/>
                <w:lang w:val="fr-FR"/>
              </w:rPr>
            </w:pPr>
            <w:r w:rsidRPr="00566AAC">
              <w:rPr>
                <w:rFonts w:ascii="Calibri" w:hAnsi="Calibri" w:cs="Arial"/>
                <w:kern w:val="24"/>
                <w:sz w:val="18"/>
                <w:szCs w:val="18"/>
                <w:lang w:val="fr-FR"/>
              </w:rPr>
              <w:t>Subvention 17%, ciblée</w:t>
            </w:r>
            <w:r>
              <w:rPr>
                <w:rFonts w:ascii="Calibri" w:hAnsi="Calibri" w:cs="Arial"/>
                <w:kern w:val="24"/>
                <w:sz w:val="18"/>
                <w:szCs w:val="18"/>
                <w:lang w:val="fr-FR"/>
              </w:rPr>
              <w:t xml:space="preserve"> performance</w:t>
            </w:r>
          </w:p>
        </w:tc>
      </w:tr>
      <w:tr w:rsidR="001F20B6" w:rsidRPr="009F1DD9" w14:paraId="34A3BF17" w14:textId="77777777" w:rsidTr="00407446">
        <w:tc>
          <w:tcPr>
            <w:tcW w:w="1242" w:type="dxa"/>
          </w:tcPr>
          <w:p w14:paraId="532BC6E5" w14:textId="77777777" w:rsidR="001F20B6" w:rsidRPr="00566AAC" w:rsidRDefault="001F20B6" w:rsidP="00407446">
            <w:pPr>
              <w:rPr>
                <w:sz w:val="18"/>
                <w:szCs w:val="18"/>
                <w:lang w:val="fr-FR"/>
              </w:rPr>
            </w:pPr>
            <w:r w:rsidRPr="00566AAC">
              <w:rPr>
                <w:rFonts w:ascii="Calibri" w:hAnsi="Calibri" w:cs="Arial"/>
                <w:b/>
                <w:bCs/>
                <w:kern w:val="24"/>
                <w:sz w:val="18"/>
                <w:szCs w:val="18"/>
                <w:lang w:val="fr-FR"/>
              </w:rPr>
              <w:t>EPTZ</w:t>
            </w:r>
          </w:p>
        </w:tc>
        <w:tc>
          <w:tcPr>
            <w:tcW w:w="4111" w:type="dxa"/>
          </w:tcPr>
          <w:p w14:paraId="517A1189" w14:textId="6612C949" w:rsidR="001F20B6" w:rsidRPr="00566AAC" w:rsidRDefault="001F20B6" w:rsidP="00124C1B">
            <w:pPr>
              <w:jc w:val="center"/>
              <w:rPr>
                <w:sz w:val="18"/>
                <w:szCs w:val="18"/>
                <w:lang w:val="fr-FR"/>
              </w:rPr>
            </w:pPr>
            <w:r w:rsidRPr="00566AAC">
              <w:rPr>
                <w:rFonts w:ascii="Calibri" w:hAnsi="Calibri" w:cs="Arial"/>
                <w:kern w:val="24"/>
                <w:sz w:val="18"/>
                <w:szCs w:val="18"/>
                <w:lang w:val="fr-FR"/>
              </w:rPr>
              <w:t>Subvention ~</w:t>
            </w:r>
            <w:r w:rsidR="00124C1B">
              <w:rPr>
                <w:rFonts w:ascii="Calibri" w:hAnsi="Calibri" w:cs="Arial"/>
                <w:kern w:val="24"/>
                <w:sz w:val="18"/>
                <w:szCs w:val="18"/>
                <w:lang w:val="fr-FR"/>
              </w:rPr>
              <w:t>8</w:t>
            </w:r>
            <w:r w:rsidRPr="00566AAC">
              <w:rPr>
                <w:rFonts w:ascii="Calibri" w:hAnsi="Calibri" w:cs="Arial"/>
                <w:kern w:val="24"/>
                <w:sz w:val="18"/>
                <w:szCs w:val="18"/>
                <w:lang w:val="fr-FR"/>
              </w:rPr>
              <w:t>%, ciblée</w:t>
            </w:r>
            <w:r>
              <w:rPr>
                <w:rFonts w:ascii="Calibri" w:hAnsi="Calibri" w:cs="Arial"/>
                <w:kern w:val="24"/>
                <w:sz w:val="18"/>
                <w:szCs w:val="18"/>
                <w:lang w:val="fr-FR"/>
              </w:rPr>
              <w:t xml:space="preserve"> performance</w:t>
            </w:r>
          </w:p>
        </w:tc>
        <w:tc>
          <w:tcPr>
            <w:tcW w:w="4269" w:type="dxa"/>
          </w:tcPr>
          <w:p w14:paraId="52FFA683" w14:textId="79C0E2E9" w:rsidR="001F20B6" w:rsidRPr="00566AAC" w:rsidRDefault="001F20B6" w:rsidP="00FE45A8">
            <w:pPr>
              <w:jc w:val="center"/>
              <w:rPr>
                <w:sz w:val="18"/>
                <w:szCs w:val="18"/>
                <w:lang w:val="fr-FR"/>
              </w:rPr>
            </w:pPr>
            <w:r w:rsidRPr="00566AAC">
              <w:rPr>
                <w:rFonts w:ascii="Calibri" w:hAnsi="Calibri" w:cs="Arial"/>
                <w:kern w:val="24"/>
                <w:sz w:val="18"/>
                <w:szCs w:val="18"/>
                <w:lang w:val="fr-FR"/>
              </w:rPr>
              <w:t>Subvention ~</w:t>
            </w:r>
            <w:r w:rsidR="00FE45A8" w:rsidRPr="00566AAC">
              <w:rPr>
                <w:rFonts w:ascii="Calibri" w:hAnsi="Calibri" w:cs="Arial"/>
                <w:kern w:val="24"/>
                <w:sz w:val="18"/>
                <w:szCs w:val="18"/>
                <w:lang w:val="fr-FR"/>
              </w:rPr>
              <w:t>2</w:t>
            </w:r>
            <w:r w:rsidR="00FE45A8">
              <w:rPr>
                <w:rFonts w:ascii="Calibri" w:hAnsi="Calibri" w:cs="Arial"/>
                <w:kern w:val="24"/>
                <w:sz w:val="18"/>
                <w:szCs w:val="18"/>
                <w:lang w:val="fr-FR"/>
              </w:rPr>
              <w:t>2</w:t>
            </w:r>
            <w:r w:rsidRPr="00566AAC">
              <w:rPr>
                <w:rFonts w:ascii="Calibri" w:hAnsi="Calibri" w:cs="Arial"/>
                <w:kern w:val="24"/>
                <w:sz w:val="18"/>
                <w:szCs w:val="18"/>
                <w:lang w:val="fr-FR"/>
              </w:rPr>
              <w:t>%, ciblée</w:t>
            </w:r>
            <w:r>
              <w:rPr>
                <w:rFonts w:ascii="Calibri" w:hAnsi="Calibri" w:cs="Arial"/>
                <w:kern w:val="24"/>
                <w:sz w:val="18"/>
                <w:szCs w:val="18"/>
                <w:lang w:val="fr-FR"/>
              </w:rPr>
              <w:t xml:space="preserve"> performance</w:t>
            </w:r>
          </w:p>
        </w:tc>
      </w:tr>
      <w:tr w:rsidR="001F20B6" w:rsidRPr="000A1DB5" w14:paraId="722B6280" w14:textId="77777777" w:rsidTr="00407446">
        <w:tc>
          <w:tcPr>
            <w:tcW w:w="1242" w:type="dxa"/>
          </w:tcPr>
          <w:p w14:paraId="08E6A47C" w14:textId="77777777" w:rsidR="001F20B6" w:rsidRPr="00566AAC" w:rsidRDefault="001F20B6" w:rsidP="00407446">
            <w:pPr>
              <w:rPr>
                <w:sz w:val="18"/>
                <w:szCs w:val="18"/>
                <w:lang w:val="fr-FR"/>
              </w:rPr>
            </w:pPr>
            <w:r w:rsidRPr="00566AAC">
              <w:rPr>
                <w:rFonts w:ascii="Calibri" w:hAnsi="Calibri" w:cs="Arial"/>
                <w:b/>
                <w:bCs/>
                <w:kern w:val="24"/>
                <w:sz w:val="18"/>
                <w:szCs w:val="18"/>
                <w:lang w:val="fr-FR"/>
              </w:rPr>
              <w:t>CEE</w:t>
            </w:r>
          </w:p>
        </w:tc>
        <w:tc>
          <w:tcPr>
            <w:tcW w:w="4111" w:type="dxa"/>
          </w:tcPr>
          <w:p w14:paraId="1340D555" w14:textId="77777777" w:rsidR="001F20B6" w:rsidRDefault="001F20B6" w:rsidP="00407446">
            <w:pPr>
              <w:pStyle w:val="NormalWeb"/>
              <w:spacing w:before="0" w:beforeAutospacing="0" w:after="0" w:afterAutospacing="0"/>
              <w:jc w:val="center"/>
              <w:rPr>
                <w:rFonts w:ascii="Calibri" w:hAnsi="Calibri" w:cs="Arial"/>
                <w:kern w:val="24"/>
                <w:sz w:val="18"/>
                <w:szCs w:val="18"/>
                <w:lang w:val="fr-FR"/>
              </w:rPr>
            </w:pPr>
            <w:r>
              <w:rPr>
                <w:rFonts w:ascii="Calibri" w:hAnsi="Calibri" w:cs="Arial"/>
                <w:kern w:val="24"/>
                <w:sz w:val="18"/>
                <w:szCs w:val="18"/>
                <w:lang w:val="fr-FR"/>
              </w:rPr>
              <w:t xml:space="preserve">Subvention 4€/MWh cumac </w:t>
            </w:r>
          </w:p>
          <w:p w14:paraId="3944DEC4" w14:textId="77777777" w:rsidR="001F20B6" w:rsidRPr="00566AAC" w:rsidRDefault="001F20B6" w:rsidP="00407446">
            <w:pPr>
              <w:pStyle w:val="NormalWeb"/>
              <w:spacing w:before="0" w:beforeAutospacing="0" w:after="0" w:afterAutospacing="0"/>
              <w:jc w:val="center"/>
              <w:rPr>
                <w:rFonts w:ascii="Arial" w:hAnsi="Arial" w:cs="Arial"/>
                <w:sz w:val="18"/>
                <w:szCs w:val="18"/>
                <w:lang w:val="fr-FR"/>
              </w:rPr>
            </w:pPr>
            <w:r w:rsidRPr="00566AAC">
              <w:rPr>
                <w:rFonts w:ascii="Calibri" w:hAnsi="Calibri" w:cs="Arial"/>
                <w:kern w:val="24"/>
                <w:sz w:val="18"/>
                <w:szCs w:val="18"/>
                <w:lang w:val="fr-FR"/>
              </w:rPr>
              <w:t xml:space="preserve">(doublée pour </w:t>
            </w:r>
            <w:r>
              <w:rPr>
                <w:rFonts w:ascii="Calibri" w:hAnsi="Calibri" w:cs="Arial"/>
                <w:kern w:val="24"/>
                <w:sz w:val="18"/>
                <w:szCs w:val="18"/>
                <w:lang w:val="fr-FR"/>
              </w:rPr>
              <w:t xml:space="preserve">ménages </w:t>
            </w:r>
            <w:r w:rsidRPr="00566AAC">
              <w:rPr>
                <w:rFonts w:ascii="Calibri" w:hAnsi="Calibri" w:cs="Arial"/>
                <w:kern w:val="24"/>
                <w:sz w:val="18"/>
                <w:szCs w:val="18"/>
                <w:lang w:val="fr-FR"/>
              </w:rPr>
              <w:t xml:space="preserve">C1), </w:t>
            </w:r>
            <w:r>
              <w:rPr>
                <w:rFonts w:ascii="Calibri" w:hAnsi="Calibri" w:cs="Arial"/>
                <w:kern w:val="24"/>
                <w:sz w:val="18"/>
                <w:szCs w:val="18"/>
                <w:lang w:val="fr-FR"/>
              </w:rPr>
              <w:t>puis 5€ en 2017 croissant à</w:t>
            </w:r>
            <w:r w:rsidRPr="00566AAC">
              <w:rPr>
                <w:rFonts w:ascii="Calibri" w:hAnsi="Calibri" w:cs="Arial"/>
                <w:kern w:val="24"/>
                <w:sz w:val="18"/>
                <w:szCs w:val="18"/>
                <w:lang w:val="fr-FR"/>
              </w:rPr>
              <w:t xml:space="preserve"> 2%/an,</w:t>
            </w:r>
          </w:p>
          <w:p w14:paraId="2222EA95" w14:textId="77777777" w:rsidR="001F20B6" w:rsidRPr="00566AAC" w:rsidRDefault="001F20B6" w:rsidP="00407446">
            <w:pPr>
              <w:jc w:val="center"/>
              <w:rPr>
                <w:sz w:val="18"/>
                <w:szCs w:val="18"/>
                <w:lang w:val="fr-FR"/>
              </w:rPr>
            </w:pPr>
            <w:r w:rsidRPr="00566AAC">
              <w:rPr>
                <w:rFonts w:ascii="Calibri" w:hAnsi="Calibri" w:cs="Arial"/>
                <w:kern w:val="24"/>
                <w:sz w:val="18"/>
                <w:szCs w:val="18"/>
                <w:lang w:val="fr-FR"/>
              </w:rPr>
              <w:t>+ taxe sur l’énergie</w:t>
            </w:r>
          </w:p>
        </w:tc>
        <w:tc>
          <w:tcPr>
            <w:tcW w:w="4269" w:type="dxa"/>
          </w:tcPr>
          <w:p w14:paraId="308E26C1" w14:textId="77777777" w:rsidR="001F20B6" w:rsidRDefault="001F20B6" w:rsidP="00407446">
            <w:pPr>
              <w:pStyle w:val="NormalWeb"/>
              <w:spacing w:before="0" w:beforeAutospacing="0" w:after="0" w:afterAutospacing="0"/>
              <w:jc w:val="center"/>
              <w:rPr>
                <w:rFonts w:ascii="Calibri" w:hAnsi="Calibri" w:cs="Arial"/>
                <w:kern w:val="24"/>
                <w:sz w:val="18"/>
                <w:szCs w:val="18"/>
                <w:lang w:val="fr-FR"/>
              </w:rPr>
            </w:pPr>
            <w:r>
              <w:rPr>
                <w:rFonts w:ascii="Calibri" w:hAnsi="Calibri" w:cs="Arial"/>
                <w:kern w:val="24"/>
                <w:sz w:val="18"/>
                <w:szCs w:val="18"/>
                <w:lang w:val="fr-FR"/>
              </w:rPr>
              <w:t xml:space="preserve">Subvention 4€/MWh cumac </w:t>
            </w:r>
          </w:p>
          <w:p w14:paraId="58717EAC" w14:textId="77777777" w:rsidR="001F20B6" w:rsidRDefault="001F20B6" w:rsidP="00407446">
            <w:pPr>
              <w:jc w:val="center"/>
              <w:rPr>
                <w:rFonts w:ascii="Calibri" w:hAnsi="Calibri" w:cs="Arial"/>
                <w:kern w:val="24"/>
                <w:sz w:val="18"/>
                <w:szCs w:val="18"/>
                <w:lang w:val="fr-FR"/>
              </w:rPr>
            </w:pPr>
            <w:r w:rsidRPr="00566AAC">
              <w:rPr>
                <w:rFonts w:ascii="Calibri" w:hAnsi="Calibri" w:cs="Arial"/>
                <w:kern w:val="24"/>
                <w:sz w:val="18"/>
                <w:szCs w:val="18"/>
                <w:lang w:val="fr-FR"/>
              </w:rPr>
              <w:t xml:space="preserve">(doublée pour </w:t>
            </w:r>
            <w:r>
              <w:rPr>
                <w:rFonts w:ascii="Calibri" w:hAnsi="Calibri" w:cs="Arial"/>
                <w:kern w:val="24"/>
                <w:sz w:val="18"/>
                <w:szCs w:val="18"/>
                <w:lang w:val="fr-FR"/>
              </w:rPr>
              <w:t xml:space="preserve">ménages </w:t>
            </w:r>
            <w:r w:rsidRPr="00566AAC">
              <w:rPr>
                <w:rFonts w:ascii="Calibri" w:hAnsi="Calibri" w:cs="Arial"/>
                <w:kern w:val="24"/>
                <w:sz w:val="18"/>
                <w:szCs w:val="18"/>
                <w:lang w:val="fr-FR"/>
              </w:rPr>
              <w:t xml:space="preserve">C1), </w:t>
            </w:r>
            <w:r>
              <w:rPr>
                <w:rFonts w:ascii="Calibri" w:hAnsi="Calibri" w:cs="Arial"/>
                <w:kern w:val="24"/>
                <w:sz w:val="18"/>
                <w:szCs w:val="18"/>
                <w:lang w:val="fr-FR"/>
              </w:rPr>
              <w:t>puis 15€ en 2018 croissant à</w:t>
            </w:r>
            <w:r w:rsidRPr="00566AAC">
              <w:rPr>
                <w:rFonts w:ascii="Calibri" w:hAnsi="Calibri" w:cs="Arial"/>
                <w:kern w:val="24"/>
                <w:sz w:val="18"/>
                <w:szCs w:val="18"/>
                <w:lang w:val="fr-FR"/>
              </w:rPr>
              <w:t xml:space="preserve"> 2%/an</w:t>
            </w:r>
            <w:r>
              <w:rPr>
                <w:rFonts w:ascii="Calibri" w:hAnsi="Calibri" w:cs="Arial"/>
                <w:kern w:val="24"/>
                <w:sz w:val="18"/>
                <w:szCs w:val="18"/>
                <w:lang w:val="fr-FR"/>
              </w:rPr>
              <w:t>,</w:t>
            </w:r>
          </w:p>
          <w:p w14:paraId="15156E0B" w14:textId="77777777" w:rsidR="001F20B6" w:rsidRPr="00566AAC" w:rsidRDefault="001F20B6" w:rsidP="00407446">
            <w:pPr>
              <w:jc w:val="center"/>
              <w:rPr>
                <w:sz w:val="18"/>
                <w:szCs w:val="18"/>
                <w:lang w:val="fr-FR"/>
              </w:rPr>
            </w:pPr>
            <w:r w:rsidRPr="00566AAC">
              <w:rPr>
                <w:rFonts w:ascii="Calibri" w:hAnsi="Calibri" w:cs="Arial"/>
                <w:kern w:val="24"/>
                <w:sz w:val="18"/>
                <w:szCs w:val="18"/>
                <w:lang w:val="fr-FR"/>
              </w:rPr>
              <w:t>+ taxe sur l’énergie</w:t>
            </w:r>
          </w:p>
        </w:tc>
      </w:tr>
      <w:tr w:rsidR="001F20B6" w:rsidRPr="00122C26" w14:paraId="59DF8F35" w14:textId="77777777" w:rsidTr="00407446">
        <w:tc>
          <w:tcPr>
            <w:tcW w:w="1242" w:type="dxa"/>
          </w:tcPr>
          <w:p w14:paraId="056EC5C9" w14:textId="77777777" w:rsidR="001F20B6" w:rsidRPr="00566AAC" w:rsidRDefault="001F20B6" w:rsidP="00407446">
            <w:pPr>
              <w:rPr>
                <w:sz w:val="18"/>
                <w:szCs w:val="18"/>
                <w:lang w:val="fr-FR"/>
              </w:rPr>
            </w:pPr>
            <w:r w:rsidRPr="00566AAC">
              <w:rPr>
                <w:rFonts w:ascii="Calibri" w:hAnsi="Calibri" w:cs="Arial"/>
                <w:b/>
                <w:bCs/>
                <w:kern w:val="24"/>
                <w:sz w:val="18"/>
                <w:szCs w:val="18"/>
                <w:lang w:val="fr-FR"/>
              </w:rPr>
              <w:t>TC</w:t>
            </w:r>
          </w:p>
        </w:tc>
        <w:tc>
          <w:tcPr>
            <w:tcW w:w="4111" w:type="dxa"/>
          </w:tcPr>
          <w:p w14:paraId="05A6581C" w14:textId="77777777" w:rsidR="001F20B6" w:rsidRPr="00566AAC" w:rsidRDefault="001F20B6" w:rsidP="00407446">
            <w:pPr>
              <w:jc w:val="center"/>
              <w:rPr>
                <w:sz w:val="18"/>
                <w:szCs w:val="18"/>
                <w:lang w:val="fr-FR"/>
              </w:rPr>
            </w:pPr>
            <w:r w:rsidRPr="00566AAC">
              <w:rPr>
                <w:rFonts w:ascii="Calibri" w:hAnsi="Calibri" w:cs="Arial"/>
                <w:kern w:val="24"/>
                <w:sz w:val="18"/>
                <w:szCs w:val="18"/>
                <w:lang w:val="fr-FR"/>
              </w:rPr>
              <w:t>Taxe profil LTECV, anticipation myope</w:t>
            </w:r>
          </w:p>
        </w:tc>
        <w:tc>
          <w:tcPr>
            <w:tcW w:w="4269" w:type="dxa"/>
          </w:tcPr>
          <w:p w14:paraId="598EE477" w14:textId="77777777" w:rsidR="001F20B6" w:rsidRPr="00566AAC" w:rsidRDefault="001F20B6" w:rsidP="00407446">
            <w:pPr>
              <w:jc w:val="center"/>
              <w:rPr>
                <w:sz w:val="18"/>
                <w:szCs w:val="18"/>
                <w:lang w:val="fr-FR"/>
              </w:rPr>
            </w:pPr>
            <w:r w:rsidRPr="00566AAC">
              <w:rPr>
                <w:rFonts w:ascii="Calibri" w:hAnsi="Calibri" w:cs="Arial"/>
                <w:kern w:val="24"/>
                <w:sz w:val="18"/>
                <w:szCs w:val="18"/>
                <w:lang w:val="fr-FR"/>
              </w:rPr>
              <w:t xml:space="preserve">Taxe profil LTECV, </w:t>
            </w:r>
            <w:r>
              <w:rPr>
                <w:rFonts w:ascii="Calibri" w:hAnsi="Calibri" w:cs="Arial"/>
                <w:kern w:val="24"/>
                <w:sz w:val="18"/>
                <w:szCs w:val="18"/>
                <w:lang w:val="fr-FR"/>
              </w:rPr>
              <w:t>a</w:t>
            </w:r>
            <w:r w:rsidRPr="00566AAC">
              <w:rPr>
                <w:rFonts w:ascii="Calibri" w:hAnsi="Calibri" w:cs="Arial"/>
                <w:kern w:val="24"/>
                <w:sz w:val="18"/>
                <w:szCs w:val="18"/>
                <w:lang w:val="fr-FR"/>
              </w:rPr>
              <w:t>nticipation parfaite</w:t>
            </w:r>
          </w:p>
        </w:tc>
      </w:tr>
      <w:tr w:rsidR="001F20B6" w:rsidRPr="00122C26" w14:paraId="2C119BE0" w14:textId="77777777" w:rsidTr="00407446">
        <w:tc>
          <w:tcPr>
            <w:tcW w:w="1242" w:type="dxa"/>
          </w:tcPr>
          <w:p w14:paraId="7085C642" w14:textId="77CE0C56" w:rsidR="001F20B6" w:rsidRPr="00566AAC" w:rsidRDefault="001F20B6" w:rsidP="00407446">
            <w:pPr>
              <w:rPr>
                <w:sz w:val="18"/>
                <w:szCs w:val="18"/>
                <w:lang w:val="fr-FR"/>
              </w:rPr>
            </w:pPr>
            <w:r w:rsidRPr="00566AAC">
              <w:rPr>
                <w:rFonts w:ascii="Calibri" w:hAnsi="Calibri" w:cs="Arial"/>
                <w:b/>
                <w:bCs/>
                <w:kern w:val="24"/>
                <w:sz w:val="18"/>
                <w:szCs w:val="18"/>
                <w:lang w:val="fr-FR"/>
              </w:rPr>
              <w:t>TVAr</w:t>
            </w:r>
          </w:p>
        </w:tc>
        <w:tc>
          <w:tcPr>
            <w:tcW w:w="8380" w:type="dxa"/>
            <w:gridSpan w:val="2"/>
          </w:tcPr>
          <w:p w14:paraId="5713C24B" w14:textId="77777777" w:rsidR="001F20B6" w:rsidRPr="00566AAC" w:rsidRDefault="001F20B6" w:rsidP="00407446">
            <w:pPr>
              <w:jc w:val="center"/>
              <w:rPr>
                <w:sz w:val="18"/>
                <w:szCs w:val="18"/>
                <w:lang w:val="fr-FR"/>
              </w:rPr>
            </w:pPr>
            <w:r>
              <w:rPr>
                <w:rFonts w:ascii="Calibri" w:hAnsi="Calibri" w:cs="Arial"/>
                <w:bCs/>
                <w:kern w:val="24"/>
                <w:sz w:val="18"/>
                <w:szCs w:val="18"/>
                <w:lang w:val="fr-FR"/>
              </w:rPr>
              <w:t xml:space="preserve">Taux de TVA de </w:t>
            </w:r>
            <w:r w:rsidRPr="00566AAC">
              <w:rPr>
                <w:rFonts w:ascii="Calibri" w:hAnsi="Calibri" w:cs="Arial"/>
                <w:bCs/>
                <w:kern w:val="24"/>
                <w:sz w:val="18"/>
                <w:szCs w:val="18"/>
                <w:lang w:val="fr-FR"/>
              </w:rPr>
              <w:t>5,5% au lieu de 10%</w:t>
            </w:r>
          </w:p>
        </w:tc>
      </w:tr>
      <w:tr w:rsidR="001F20B6" w:rsidRPr="00122C26" w14:paraId="63ED5E3A" w14:textId="77777777" w:rsidTr="00407446">
        <w:tc>
          <w:tcPr>
            <w:tcW w:w="1242" w:type="dxa"/>
          </w:tcPr>
          <w:p w14:paraId="3A95B80B" w14:textId="77777777" w:rsidR="001F20B6" w:rsidRPr="00566AAC" w:rsidRDefault="001F20B6" w:rsidP="00407446">
            <w:pPr>
              <w:rPr>
                <w:sz w:val="18"/>
                <w:szCs w:val="18"/>
                <w:lang w:val="fr-FR"/>
              </w:rPr>
            </w:pPr>
            <w:r w:rsidRPr="00566AAC">
              <w:rPr>
                <w:rFonts w:ascii="Calibri" w:hAnsi="Calibri" w:cs="Arial"/>
                <w:b/>
                <w:bCs/>
                <w:kern w:val="24"/>
                <w:sz w:val="18"/>
                <w:szCs w:val="18"/>
                <w:lang w:val="fr-FR"/>
              </w:rPr>
              <w:t>RT 2020</w:t>
            </w:r>
          </w:p>
        </w:tc>
        <w:tc>
          <w:tcPr>
            <w:tcW w:w="8380" w:type="dxa"/>
            <w:gridSpan w:val="2"/>
          </w:tcPr>
          <w:p w14:paraId="1CC24568" w14:textId="77777777" w:rsidR="001F20B6" w:rsidRPr="00566AAC" w:rsidRDefault="001F20B6" w:rsidP="00407446">
            <w:pPr>
              <w:jc w:val="center"/>
              <w:rPr>
                <w:sz w:val="18"/>
                <w:szCs w:val="18"/>
                <w:lang w:val="fr-FR"/>
              </w:rPr>
            </w:pPr>
            <w:r w:rsidRPr="00566AAC">
              <w:rPr>
                <w:rFonts w:ascii="Calibri" w:hAnsi="Calibri" w:cs="Arial"/>
                <w:kern w:val="24"/>
                <w:sz w:val="18"/>
                <w:szCs w:val="18"/>
                <w:lang w:val="fr-FR"/>
              </w:rPr>
              <w:t>Niveau BEPOS seul autorisé à partir de 2020</w:t>
            </w:r>
          </w:p>
        </w:tc>
      </w:tr>
    </w:tbl>
    <w:p w14:paraId="12E17B88" w14:textId="77777777" w:rsidR="001F20B6" w:rsidRPr="00362372" w:rsidRDefault="001F20B6" w:rsidP="00362372">
      <w:pPr>
        <w:rPr>
          <w:lang w:val="fr-FR"/>
        </w:rPr>
      </w:pPr>
    </w:p>
    <w:p w14:paraId="6ABFB983" w14:textId="055C8FB3" w:rsidR="006D271C" w:rsidRPr="004500BB" w:rsidRDefault="00362372" w:rsidP="006D271C">
      <w:pPr>
        <w:pStyle w:val="Titre3"/>
        <w:rPr>
          <w:lang w:val="en-GB"/>
        </w:rPr>
      </w:pPr>
      <w:r>
        <w:rPr>
          <w:lang w:val="en-GB"/>
        </w:rPr>
        <w:t>Taxe carbone</w:t>
      </w:r>
      <w:r w:rsidR="004672BE" w:rsidRPr="004500BB">
        <w:rPr>
          <w:lang w:val="en-GB"/>
        </w:rPr>
        <w:t xml:space="preserve"> (</w:t>
      </w:r>
      <w:r w:rsidR="00CA3302">
        <w:rPr>
          <w:lang w:val="en-GB"/>
        </w:rPr>
        <w:t>TC</w:t>
      </w:r>
      <w:r w:rsidR="006D271C" w:rsidRPr="004500BB">
        <w:rPr>
          <w:lang w:val="en-GB"/>
        </w:rPr>
        <w:t>)</w:t>
      </w:r>
    </w:p>
    <w:p w14:paraId="583CCC4D" w14:textId="7DF85A29" w:rsidR="005549D3" w:rsidRPr="00362372" w:rsidRDefault="00362372" w:rsidP="002B501F">
      <w:pPr>
        <w:rPr>
          <w:lang w:val="fr-FR"/>
        </w:rPr>
      </w:pPr>
      <w:r w:rsidRPr="00362372">
        <w:rPr>
          <w:lang w:val="fr-FR"/>
        </w:rPr>
        <w:t xml:space="preserve">La taxe carbone </w:t>
      </w:r>
      <w:r w:rsidR="002B5746">
        <w:rPr>
          <w:lang w:val="fr-FR"/>
        </w:rPr>
        <w:t xml:space="preserve">est modélisée à partir de 2014 avec la chronique définie par la </w:t>
      </w:r>
      <w:r w:rsidR="002B5746" w:rsidRPr="00991677">
        <w:rPr>
          <w:lang w:val="fr-FR"/>
        </w:rPr>
        <w:t>loi</w:t>
      </w:r>
      <w:r w:rsidR="002B5746">
        <w:rPr>
          <w:lang w:val="fr-FR"/>
        </w:rPr>
        <w:t xml:space="preserve"> de transition énergétique</w:t>
      </w:r>
      <w:r w:rsidR="00991677">
        <w:rPr>
          <w:lang w:val="fr-FR"/>
        </w:rPr>
        <w:t xml:space="preserve"> de 2017</w:t>
      </w:r>
      <w:r w:rsidR="002B5746">
        <w:rPr>
          <w:lang w:val="fr-FR"/>
        </w:rPr>
        <w:t xml:space="preserve"> (T</w:t>
      </w:r>
      <w:r w:rsidRPr="00362372">
        <w:rPr>
          <w:lang w:val="fr-FR"/>
        </w:rPr>
        <w:t>ableau 5)</w:t>
      </w:r>
      <w:r w:rsidR="00991677">
        <w:rPr>
          <w:rStyle w:val="Appelnotedebasdep"/>
          <w:lang w:val="fr-FR"/>
        </w:rPr>
        <w:footnoteReference w:id="4"/>
      </w:r>
      <w:r w:rsidRPr="00362372">
        <w:rPr>
          <w:lang w:val="fr-FR"/>
        </w:rPr>
        <w:t xml:space="preserve">. </w:t>
      </w:r>
      <w:r w:rsidR="002B5746">
        <w:rPr>
          <w:lang w:val="fr-FR"/>
        </w:rPr>
        <w:t>Elle s’</w:t>
      </w:r>
      <w:r w:rsidRPr="00362372">
        <w:rPr>
          <w:lang w:val="fr-FR"/>
        </w:rPr>
        <w:t xml:space="preserve">applique au </w:t>
      </w:r>
      <w:r w:rsidR="009A1520">
        <w:rPr>
          <w:lang w:val="fr-FR"/>
        </w:rPr>
        <w:t>fioul domestique</w:t>
      </w:r>
      <w:r w:rsidRPr="00362372">
        <w:rPr>
          <w:lang w:val="fr-FR"/>
        </w:rPr>
        <w:t xml:space="preserve"> et au gaz naturel, avec des </w:t>
      </w:r>
      <w:r w:rsidR="002B5746">
        <w:rPr>
          <w:lang w:val="fr-FR"/>
        </w:rPr>
        <w:t xml:space="preserve">contenus </w:t>
      </w:r>
      <w:r w:rsidRPr="00362372">
        <w:rPr>
          <w:lang w:val="fr-FR"/>
        </w:rPr>
        <w:t xml:space="preserve">en carbone </w:t>
      </w:r>
      <w:r w:rsidR="002B5746">
        <w:rPr>
          <w:lang w:val="fr-FR"/>
        </w:rPr>
        <w:t xml:space="preserve">respectifs </w:t>
      </w:r>
      <w:r w:rsidRPr="00362372">
        <w:rPr>
          <w:lang w:val="fr-FR"/>
        </w:rPr>
        <w:t xml:space="preserve">de 271 et 206 gCO2/kWh. Ce dernier diminue à partir de 2020 </w:t>
      </w:r>
      <w:r w:rsidR="002B5746">
        <w:rPr>
          <w:lang w:val="fr-FR"/>
        </w:rPr>
        <w:t>au rythme de</w:t>
      </w:r>
      <w:r w:rsidRPr="00362372">
        <w:rPr>
          <w:lang w:val="fr-FR"/>
        </w:rPr>
        <w:t xml:space="preserve"> 1% par an pour tenir compte des objectifs </w:t>
      </w:r>
      <w:r w:rsidR="002B5746">
        <w:rPr>
          <w:lang w:val="fr-FR"/>
        </w:rPr>
        <w:t xml:space="preserve">d’incorporation de gaz d’origine renouvelable </w:t>
      </w:r>
      <w:r w:rsidRPr="00362372">
        <w:rPr>
          <w:lang w:val="fr-FR"/>
        </w:rPr>
        <w:t xml:space="preserve">fixés par le gouvernement. La taxe carbone est soumise à une TVA de 20%. </w:t>
      </w:r>
      <w:r w:rsidR="009960F9">
        <w:rPr>
          <w:lang w:val="fr-FR"/>
        </w:rPr>
        <w:t>Aucune hypothèse n’est faite quant à la réaffectation d</w:t>
      </w:r>
      <w:r w:rsidRPr="00362372">
        <w:rPr>
          <w:lang w:val="fr-FR"/>
        </w:rPr>
        <w:t>e</w:t>
      </w:r>
      <w:r w:rsidR="002B5746">
        <w:rPr>
          <w:lang w:val="fr-FR"/>
        </w:rPr>
        <w:t xml:space="preserve">s </w:t>
      </w:r>
      <w:r w:rsidRPr="00362372">
        <w:rPr>
          <w:lang w:val="fr-FR"/>
        </w:rPr>
        <w:t xml:space="preserve">recettes fiscales </w:t>
      </w:r>
      <w:r w:rsidR="002B5746">
        <w:rPr>
          <w:lang w:val="fr-FR"/>
        </w:rPr>
        <w:t>aux ménages.</w:t>
      </w:r>
    </w:p>
    <w:p w14:paraId="2F768D86" w14:textId="63565D15" w:rsidR="00CE5877" w:rsidRPr="001F20B6" w:rsidRDefault="00CE5877" w:rsidP="00CE5877">
      <w:pPr>
        <w:pStyle w:val="Lgende"/>
        <w:keepNext/>
        <w:rPr>
          <w:lang w:val="fr-FR"/>
        </w:rPr>
      </w:pPr>
      <w:r w:rsidRPr="001F20B6">
        <w:rPr>
          <w:lang w:val="fr-FR"/>
        </w:rPr>
        <w:lastRenderedPageBreak/>
        <w:t>Table</w:t>
      </w:r>
      <w:r w:rsidR="001F20B6" w:rsidRPr="001F20B6">
        <w:rPr>
          <w:lang w:val="fr-FR"/>
        </w:rPr>
        <w:t>au</w:t>
      </w:r>
      <w:r w:rsidRPr="001F20B6">
        <w:rPr>
          <w:lang w:val="fr-FR"/>
        </w:rPr>
        <w:t xml:space="preserve"> </w:t>
      </w:r>
      <w:r w:rsidR="005771E8" w:rsidRPr="004500BB">
        <w:rPr>
          <w:lang w:val="en-GB"/>
        </w:rPr>
        <w:fldChar w:fldCharType="begin"/>
      </w:r>
      <w:r w:rsidR="005771E8" w:rsidRPr="001F20B6">
        <w:rPr>
          <w:lang w:val="fr-FR"/>
        </w:rPr>
        <w:instrText xml:space="preserve"> SEQ Table \* ARABIC </w:instrText>
      </w:r>
      <w:r w:rsidR="005771E8" w:rsidRPr="004500BB">
        <w:rPr>
          <w:lang w:val="en-GB"/>
        </w:rPr>
        <w:fldChar w:fldCharType="separate"/>
      </w:r>
      <w:r w:rsidR="00FB5040" w:rsidRPr="001F20B6">
        <w:rPr>
          <w:noProof/>
          <w:lang w:val="fr-FR"/>
        </w:rPr>
        <w:t>5</w:t>
      </w:r>
      <w:r w:rsidR="005771E8" w:rsidRPr="004500BB">
        <w:rPr>
          <w:noProof/>
          <w:lang w:val="en-GB"/>
        </w:rPr>
        <w:fldChar w:fldCharType="end"/>
      </w:r>
      <w:r w:rsidRPr="001F20B6">
        <w:rPr>
          <w:lang w:val="fr-FR"/>
        </w:rPr>
        <w:t xml:space="preserve">: </w:t>
      </w:r>
      <w:r w:rsidR="001F20B6" w:rsidRPr="001F20B6">
        <w:rPr>
          <w:lang w:val="fr-FR"/>
        </w:rPr>
        <w:t>Taxe carbone</w:t>
      </w:r>
      <w:r w:rsidRPr="001F20B6">
        <w:rPr>
          <w:lang w:val="fr-FR"/>
        </w:rPr>
        <w:t xml:space="preserve">, </w:t>
      </w:r>
      <w:r w:rsidR="001F20B6" w:rsidRPr="001F20B6">
        <w:rPr>
          <w:lang w:val="fr-FR"/>
        </w:rPr>
        <w:t>en euros par tonne de</w:t>
      </w:r>
      <w:r w:rsidRPr="001F20B6">
        <w:rPr>
          <w:lang w:val="fr-FR"/>
        </w:rPr>
        <w:t xml:space="preserve"> CO</w:t>
      </w:r>
      <w:r w:rsidRPr="001F20B6">
        <w:rPr>
          <w:vertAlign w:val="subscript"/>
          <w:lang w:val="fr-FR"/>
        </w:rPr>
        <w:t>2</w:t>
      </w:r>
      <w:r w:rsidRPr="001F20B6">
        <w:rPr>
          <w:lang w:val="fr-FR"/>
        </w:rPr>
        <w:t>-equivalent</w:t>
      </w:r>
      <w:r w:rsidR="004500BB" w:rsidRPr="001F20B6">
        <w:rPr>
          <w:lang w:val="fr-FR"/>
        </w:rPr>
        <w:t xml:space="preserve"> (</w:t>
      </w:r>
      <w:r w:rsidR="001F20B6">
        <w:rPr>
          <w:lang w:val="fr-FR"/>
        </w:rPr>
        <w:t>hors TVA</w:t>
      </w:r>
      <w:r w:rsidR="004500BB" w:rsidRPr="001F20B6">
        <w:rPr>
          <w:lang w:val="fr-FR"/>
        </w:rPr>
        <w:t>)</w:t>
      </w:r>
    </w:p>
    <w:tbl>
      <w:tblPr>
        <w:tblStyle w:val="Grilledutableau"/>
        <w:tblW w:w="0" w:type="auto"/>
        <w:tblLook w:val="04A0" w:firstRow="1" w:lastRow="0" w:firstColumn="1" w:lastColumn="0" w:noHBand="0" w:noVBand="1"/>
      </w:tblPr>
      <w:tblGrid>
        <w:gridCol w:w="817"/>
        <w:gridCol w:w="851"/>
        <w:gridCol w:w="850"/>
        <w:gridCol w:w="992"/>
        <w:gridCol w:w="1134"/>
        <w:gridCol w:w="993"/>
        <w:gridCol w:w="992"/>
        <w:gridCol w:w="1923"/>
        <w:gridCol w:w="1070"/>
      </w:tblGrid>
      <w:tr w:rsidR="002B501F" w:rsidRPr="004500BB" w14:paraId="68C4C745" w14:textId="77777777" w:rsidTr="00F80411">
        <w:tc>
          <w:tcPr>
            <w:tcW w:w="817" w:type="dxa"/>
          </w:tcPr>
          <w:p w14:paraId="72202891" w14:textId="77777777" w:rsidR="002B501F" w:rsidRPr="004500BB" w:rsidRDefault="002B501F" w:rsidP="00F80411">
            <w:pPr>
              <w:jc w:val="center"/>
              <w:rPr>
                <w:sz w:val="18"/>
                <w:lang w:val="en-GB"/>
              </w:rPr>
            </w:pPr>
            <w:r w:rsidRPr="004500BB">
              <w:rPr>
                <w:sz w:val="18"/>
                <w:lang w:val="en-GB"/>
              </w:rPr>
              <w:t>2014</w:t>
            </w:r>
          </w:p>
        </w:tc>
        <w:tc>
          <w:tcPr>
            <w:tcW w:w="851" w:type="dxa"/>
          </w:tcPr>
          <w:p w14:paraId="56C1292D" w14:textId="77777777" w:rsidR="002B501F" w:rsidRPr="004500BB" w:rsidRDefault="002B501F" w:rsidP="00F80411">
            <w:pPr>
              <w:jc w:val="center"/>
              <w:rPr>
                <w:sz w:val="18"/>
                <w:lang w:val="en-GB"/>
              </w:rPr>
            </w:pPr>
            <w:r w:rsidRPr="004500BB">
              <w:rPr>
                <w:sz w:val="18"/>
                <w:lang w:val="en-GB"/>
              </w:rPr>
              <w:t>2015</w:t>
            </w:r>
          </w:p>
        </w:tc>
        <w:tc>
          <w:tcPr>
            <w:tcW w:w="850" w:type="dxa"/>
          </w:tcPr>
          <w:p w14:paraId="4B558FC5" w14:textId="77777777" w:rsidR="002B501F" w:rsidRPr="004500BB" w:rsidRDefault="002B501F" w:rsidP="00F80411">
            <w:pPr>
              <w:jc w:val="center"/>
              <w:rPr>
                <w:sz w:val="18"/>
                <w:lang w:val="en-GB"/>
              </w:rPr>
            </w:pPr>
            <w:r w:rsidRPr="004500BB">
              <w:rPr>
                <w:sz w:val="18"/>
                <w:lang w:val="en-GB"/>
              </w:rPr>
              <w:t>2016</w:t>
            </w:r>
          </w:p>
        </w:tc>
        <w:tc>
          <w:tcPr>
            <w:tcW w:w="992" w:type="dxa"/>
          </w:tcPr>
          <w:p w14:paraId="2C794C0A" w14:textId="77777777" w:rsidR="002B501F" w:rsidRPr="004500BB" w:rsidRDefault="002B501F" w:rsidP="00F80411">
            <w:pPr>
              <w:jc w:val="center"/>
              <w:rPr>
                <w:sz w:val="18"/>
                <w:lang w:val="en-GB"/>
              </w:rPr>
            </w:pPr>
            <w:r w:rsidRPr="004500BB">
              <w:rPr>
                <w:sz w:val="18"/>
                <w:lang w:val="en-GB"/>
              </w:rPr>
              <w:t>2017</w:t>
            </w:r>
          </w:p>
        </w:tc>
        <w:tc>
          <w:tcPr>
            <w:tcW w:w="1134" w:type="dxa"/>
          </w:tcPr>
          <w:p w14:paraId="4466DC72" w14:textId="77777777" w:rsidR="002B501F" w:rsidRPr="004500BB" w:rsidRDefault="002B501F" w:rsidP="00F80411">
            <w:pPr>
              <w:jc w:val="center"/>
              <w:rPr>
                <w:sz w:val="18"/>
                <w:lang w:val="en-GB"/>
              </w:rPr>
            </w:pPr>
            <w:r w:rsidRPr="004500BB">
              <w:rPr>
                <w:sz w:val="18"/>
                <w:lang w:val="en-GB"/>
              </w:rPr>
              <w:t>2018</w:t>
            </w:r>
          </w:p>
        </w:tc>
        <w:tc>
          <w:tcPr>
            <w:tcW w:w="993" w:type="dxa"/>
          </w:tcPr>
          <w:p w14:paraId="3923DFD3" w14:textId="77777777" w:rsidR="002B501F" w:rsidRPr="004500BB" w:rsidRDefault="002B501F" w:rsidP="00F80411">
            <w:pPr>
              <w:jc w:val="center"/>
              <w:rPr>
                <w:sz w:val="18"/>
                <w:lang w:val="en-GB"/>
              </w:rPr>
            </w:pPr>
            <w:r w:rsidRPr="004500BB">
              <w:rPr>
                <w:sz w:val="18"/>
                <w:lang w:val="en-GB"/>
              </w:rPr>
              <w:t>2019</w:t>
            </w:r>
          </w:p>
        </w:tc>
        <w:tc>
          <w:tcPr>
            <w:tcW w:w="992" w:type="dxa"/>
          </w:tcPr>
          <w:p w14:paraId="304E7666" w14:textId="77777777" w:rsidR="002B501F" w:rsidRPr="004500BB" w:rsidRDefault="002B501F" w:rsidP="00F80411">
            <w:pPr>
              <w:jc w:val="center"/>
              <w:rPr>
                <w:sz w:val="18"/>
                <w:lang w:val="en-GB"/>
              </w:rPr>
            </w:pPr>
            <w:r w:rsidRPr="004500BB">
              <w:rPr>
                <w:sz w:val="18"/>
                <w:lang w:val="en-GB"/>
              </w:rPr>
              <w:t>2020</w:t>
            </w:r>
          </w:p>
        </w:tc>
        <w:tc>
          <w:tcPr>
            <w:tcW w:w="1923" w:type="dxa"/>
          </w:tcPr>
          <w:p w14:paraId="4D20EB3D" w14:textId="77777777" w:rsidR="002B501F" w:rsidRPr="004500BB" w:rsidRDefault="002B501F" w:rsidP="00F80411">
            <w:pPr>
              <w:jc w:val="center"/>
              <w:rPr>
                <w:sz w:val="18"/>
                <w:lang w:val="en-GB"/>
              </w:rPr>
            </w:pPr>
            <w:r w:rsidRPr="004500BB">
              <w:rPr>
                <w:sz w:val="18"/>
                <w:lang w:val="en-GB"/>
              </w:rPr>
              <w:t>2020-30</w:t>
            </w:r>
          </w:p>
        </w:tc>
        <w:tc>
          <w:tcPr>
            <w:tcW w:w="1070" w:type="dxa"/>
          </w:tcPr>
          <w:p w14:paraId="02ED683E" w14:textId="77777777" w:rsidR="002B501F" w:rsidRPr="004500BB" w:rsidRDefault="002B501F" w:rsidP="00F80411">
            <w:pPr>
              <w:jc w:val="center"/>
              <w:rPr>
                <w:sz w:val="18"/>
                <w:lang w:val="en-GB"/>
              </w:rPr>
            </w:pPr>
            <w:r w:rsidRPr="004500BB">
              <w:rPr>
                <w:sz w:val="18"/>
                <w:lang w:val="en-GB"/>
              </w:rPr>
              <w:t>2030-50</w:t>
            </w:r>
          </w:p>
        </w:tc>
      </w:tr>
      <w:tr w:rsidR="002B501F" w:rsidRPr="004500BB" w14:paraId="7F1DDDBE" w14:textId="77777777" w:rsidTr="00F80411">
        <w:tc>
          <w:tcPr>
            <w:tcW w:w="817" w:type="dxa"/>
          </w:tcPr>
          <w:p w14:paraId="601D9D79" w14:textId="77777777" w:rsidR="002B501F" w:rsidRPr="004500BB" w:rsidRDefault="00F80411" w:rsidP="00F80411">
            <w:pPr>
              <w:jc w:val="center"/>
              <w:rPr>
                <w:sz w:val="18"/>
                <w:lang w:val="en-GB"/>
              </w:rPr>
            </w:pPr>
            <w:r w:rsidRPr="004500BB">
              <w:rPr>
                <w:sz w:val="18"/>
                <w:lang w:val="en-GB"/>
              </w:rPr>
              <w:t>7€</w:t>
            </w:r>
          </w:p>
        </w:tc>
        <w:tc>
          <w:tcPr>
            <w:tcW w:w="851" w:type="dxa"/>
          </w:tcPr>
          <w:p w14:paraId="6B2F2204" w14:textId="743B39F1" w:rsidR="002B501F" w:rsidRPr="004500BB" w:rsidRDefault="000F6418" w:rsidP="00F80411">
            <w:pPr>
              <w:jc w:val="center"/>
              <w:rPr>
                <w:sz w:val="18"/>
                <w:lang w:val="en-GB"/>
              </w:rPr>
            </w:pPr>
            <w:r>
              <w:rPr>
                <w:sz w:val="18"/>
                <w:lang w:val="en-GB"/>
              </w:rPr>
              <w:t>14,</w:t>
            </w:r>
            <w:r w:rsidR="007D4F6A" w:rsidRPr="004500BB">
              <w:rPr>
                <w:sz w:val="18"/>
                <w:lang w:val="en-GB"/>
              </w:rPr>
              <w:t>5€</w:t>
            </w:r>
          </w:p>
        </w:tc>
        <w:tc>
          <w:tcPr>
            <w:tcW w:w="850" w:type="dxa"/>
          </w:tcPr>
          <w:p w14:paraId="0A38E559" w14:textId="77777777" w:rsidR="002B501F" w:rsidRPr="004500BB" w:rsidRDefault="007D4F6A" w:rsidP="00F80411">
            <w:pPr>
              <w:jc w:val="center"/>
              <w:rPr>
                <w:sz w:val="18"/>
                <w:lang w:val="en-GB"/>
              </w:rPr>
            </w:pPr>
            <w:r w:rsidRPr="004500BB">
              <w:rPr>
                <w:sz w:val="18"/>
                <w:lang w:val="en-GB"/>
              </w:rPr>
              <w:t>22€</w:t>
            </w:r>
          </w:p>
        </w:tc>
        <w:tc>
          <w:tcPr>
            <w:tcW w:w="992" w:type="dxa"/>
          </w:tcPr>
          <w:p w14:paraId="43C33E68" w14:textId="4F3834C8" w:rsidR="002B501F" w:rsidRPr="004500BB" w:rsidRDefault="00F80411" w:rsidP="00B842A4">
            <w:pPr>
              <w:jc w:val="center"/>
              <w:rPr>
                <w:sz w:val="18"/>
                <w:lang w:val="en-GB"/>
              </w:rPr>
            </w:pPr>
            <w:r w:rsidRPr="004500BB">
              <w:rPr>
                <w:sz w:val="18"/>
                <w:lang w:val="en-GB"/>
              </w:rPr>
              <w:t>30</w:t>
            </w:r>
            <w:r w:rsidR="00B842A4">
              <w:rPr>
                <w:sz w:val="18"/>
                <w:lang w:val="en-GB"/>
              </w:rPr>
              <w:t>,</w:t>
            </w:r>
            <w:r w:rsidRPr="004500BB">
              <w:rPr>
                <w:sz w:val="18"/>
                <w:lang w:val="en-GB"/>
              </w:rPr>
              <w:t>5€</w:t>
            </w:r>
          </w:p>
        </w:tc>
        <w:tc>
          <w:tcPr>
            <w:tcW w:w="1134" w:type="dxa"/>
          </w:tcPr>
          <w:p w14:paraId="343DE2AA" w14:textId="77777777" w:rsidR="002B501F" w:rsidRPr="004500BB" w:rsidRDefault="00F80411" w:rsidP="00F80411">
            <w:pPr>
              <w:jc w:val="center"/>
              <w:rPr>
                <w:sz w:val="18"/>
                <w:lang w:val="en-GB"/>
              </w:rPr>
            </w:pPr>
            <w:r w:rsidRPr="004500BB">
              <w:rPr>
                <w:sz w:val="18"/>
                <w:lang w:val="en-GB"/>
              </w:rPr>
              <w:t>39€</w:t>
            </w:r>
          </w:p>
        </w:tc>
        <w:tc>
          <w:tcPr>
            <w:tcW w:w="993" w:type="dxa"/>
          </w:tcPr>
          <w:p w14:paraId="452D6727" w14:textId="30BB50BD" w:rsidR="002B501F" w:rsidRPr="004500BB" w:rsidRDefault="00B842A4" w:rsidP="00F80411">
            <w:pPr>
              <w:jc w:val="center"/>
              <w:rPr>
                <w:sz w:val="18"/>
                <w:lang w:val="en-GB"/>
              </w:rPr>
            </w:pPr>
            <w:r>
              <w:rPr>
                <w:sz w:val="18"/>
                <w:lang w:val="en-GB"/>
              </w:rPr>
              <w:t>47,</w:t>
            </w:r>
            <w:r w:rsidR="00F80411" w:rsidRPr="004500BB">
              <w:rPr>
                <w:sz w:val="18"/>
                <w:lang w:val="en-GB"/>
              </w:rPr>
              <w:t>5€</w:t>
            </w:r>
          </w:p>
        </w:tc>
        <w:tc>
          <w:tcPr>
            <w:tcW w:w="992" w:type="dxa"/>
          </w:tcPr>
          <w:p w14:paraId="79DB235F" w14:textId="77777777" w:rsidR="002B501F" w:rsidRPr="004500BB" w:rsidRDefault="00F80411" w:rsidP="00F80411">
            <w:pPr>
              <w:jc w:val="center"/>
              <w:rPr>
                <w:sz w:val="18"/>
                <w:lang w:val="en-GB"/>
              </w:rPr>
            </w:pPr>
            <w:r w:rsidRPr="004500BB">
              <w:rPr>
                <w:sz w:val="18"/>
                <w:lang w:val="en-GB"/>
              </w:rPr>
              <w:t>56€</w:t>
            </w:r>
          </w:p>
        </w:tc>
        <w:tc>
          <w:tcPr>
            <w:tcW w:w="1923" w:type="dxa"/>
          </w:tcPr>
          <w:p w14:paraId="66E8FC67" w14:textId="479C2256" w:rsidR="002B501F" w:rsidRPr="004500BB" w:rsidRDefault="00F80411" w:rsidP="00C77BF6">
            <w:pPr>
              <w:jc w:val="center"/>
              <w:rPr>
                <w:sz w:val="18"/>
                <w:lang w:val="en-GB"/>
              </w:rPr>
            </w:pPr>
            <w:r w:rsidRPr="004500BB">
              <w:rPr>
                <w:sz w:val="18"/>
                <w:lang w:val="en-GB"/>
              </w:rPr>
              <w:t>+6%</w:t>
            </w:r>
            <w:r w:rsidR="00C77BF6">
              <w:rPr>
                <w:sz w:val="18"/>
                <w:lang w:val="en-GB"/>
              </w:rPr>
              <w:t>/an</w:t>
            </w:r>
            <w:r w:rsidRPr="004500BB">
              <w:rPr>
                <w:sz w:val="18"/>
                <w:lang w:val="en-GB"/>
              </w:rPr>
              <w:t xml:space="preserve">, 100€ </w:t>
            </w:r>
            <w:r w:rsidR="00C77BF6">
              <w:rPr>
                <w:sz w:val="18"/>
                <w:lang w:val="en-GB"/>
              </w:rPr>
              <w:t>en</w:t>
            </w:r>
            <w:r w:rsidRPr="004500BB">
              <w:rPr>
                <w:sz w:val="18"/>
                <w:lang w:val="en-GB"/>
              </w:rPr>
              <w:t xml:space="preserve"> 2030</w:t>
            </w:r>
          </w:p>
        </w:tc>
        <w:tc>
          <w:tcPr>
            <w:tcW w:w="1070" w:type="dxa"/>
          </w:tcPr>
          <w:p w14:paraId="1327F63A" w14:textId="78E9639F" w:rsidR="002B501F" w:rsidRPr="004500BB" w:rsidRDefault="00C77BF6" w:rsidP="00F80411">
            <w:pPr>
              <w:jc w:val="center"/>
              <w:rPr>
                <w:sz w:val="18"/>
                <w:lang w:val="en-GB"/>
              </w:rPr>
            </w:pPr>
            <w:r>
              <w:rPr>
                <w:sz w:val="18"/>
                <w:lang w:val="en-GB"/>
              </w:rPr>
              <w:t>+4%/an</w:t>
            </w:r>
          </w:p>
        </w:tc>
      </w:tr>
    </w:tbl>
    <w:p w14:paraId="70FE0613" w14:textId="77777777" w:rsidR="00656503" w:rsidRDefault="00656503" w:rsidP="00656503">
      <w:pPr>
        <w:rPr>
          <w:lang w:val="fr-FR"/>
        </w:rPr>
      </w:pPr>
    </w:p>
    <w:p w14:paraId="0AA584D3" w14:textId="1C4F66D8" w:rsidR="00362372" w:rsidRDefault="00362372" w:rsidP="00656503">
      <w:pPr>
        <w:rPr>
          <w:b/>
          <w:bCs/>
          <w:lang w:val="fr-FR"/>
        </w:rPr>
      </w:pPr>
      <w:r w:rsidRPr="00362372">
        <w:rPr>
          <w:lang w:val="fr-FR"/>
        </w:rPr>
        <w:t>Dans la variante de référence, la taxe carbone est, comme le prix de l</w:t>
      </w:r>
      <w:r w:rsidR="00294CAF">
        <w:rPr>
          <w:lang w:val="fr-FR"/>
        </w:rPr>
        <w:t>’</w:t>
      </w:r>
      <w:r w:rsidRPr="00362372">
        <w:rPr>
          <w:lang w:val="fr-FR"/>
        </w:rPr>
        <w:t xml:space="preserve">énergie, </w:t>
      </w:r>
      <w:r w:rsidR="00294CAF">
        <w:rPr>
          <w:lang w:val="fr-FR"/>
        </w:rPr>
        <w:t xml:space="preserve">anticipée </w:t>
      </w:r>
      <w:r w:rsidRPr="00362372">
        <w:rPr>
          <w:lang w:val="fr-FR"/>
        </w:rPr>
        <w:t xml:space="preserve">de </w:t>
      </w:r>
      <w:r w:rsidR="00294CAF">
        <w:rPr>
          <w:lang w:val="fr-FR"/>
        </w:rPr>
        <w:t>façon</w:t>
      </w:r>
      <w:r w:rsidRPr="00362372">
        <w:rPr>
          <w:lang w:val="fr-FR"/>
        </w:rPr>
        <w:t xml:space="preserve"> myope. Dans la variante </w:t>
      </w:r>
      <w:r w:rsidR="00CA3302">
        <w:rPr>
          <w:lang w:val="fr-FR"/>
        </w:rPr>
        <w:t>TC</w:t>
      </w:r>
      <w:r w:rsidRPr="00362372">
        <w:rPr>
          <w:lang w:val="fr-FR"/>
        </w:rPr>
        <w:t xml:space="preserve">+, </w:t>
      </w:r>
      <w:r w:rsidR="00911044">
        <w:rPr>
          <w:lang w:val="fr-FR"/>
        </w:rPr>
        <w:t xml:space="preserve">elle est </w:t>
      </w:r>
      <w:r w:rsidRPr="00362372">
        <w:rPr>
          <w:lang w:val="fr-FR"/>
        </w:rPr>
        <w:t>en revanche</w:t>
      </w:r>
      <w:r w:rsidR="00911044">
        <w:rPr>
          <w:lang w:val="fr-FR"/>
        </w:rPr>
        <w:t xml:space="preserve"> </w:t>
      </w:r>
      <w:r w:rsidRPr="00362372">
        <w:rPr>
          <w:lang w:val="fr-FR"/>
        </w:rPr>
        <w:t xml:space="preserve">parfaitement </w:t>
      </w:r>
      <w:r w:rsidR="00911044">
        <w:rPr>
          <w:lang w:val="fr-FR"/>
        </w:rPr>
        <w:t>anticipée</w:t>
      </w:r>
      <w:r w:rsidRPr="00362372">
        <w:rPr>
          <w:lang w:val="fr-FR"/>
        </w:rPr>
        <w:t xml:space="preserve">. </w:t>
      </w:r>
      <w:r w:rsidR="00911044">
        <w:rPr>
          <w:lang w:val="fr-FR"/>
        </w:rPr>
        <w:t xml:space="preserve">Ces deux variantes </w:t>
      </w:r>
      <w:r w:rsidRPr="00362372">
        <w:rPr>
          <w:lang w:val="fr-FR"/>
        </w:rPr>
        <w:t xml:space="preserve">visent à fournir </w:t>
      </w:r>
      <w:r w:rsidR="00911044">
        <w:rPr>
          <w:lang w:val="fr-FR"/>
        </w:rPr>
        <w:t>une limite inférieure et supérieure</w:t>
      </w:r>
      <w:r w:rsidRPr="00362372">
        <w:rPr>
          <w:lang w:val="fr-FR"/>
        </w:rPr>
        <w:t xml:space="preserve"> au comportement des décideurs. Il convient de </w:t>
      </w:r>
      <w:r w:rsidR="005C1809">
        <w:rPr>
          <w:lang w:val="fr-FR"/>
        </w:rPr>
        <w:t>rappeler qu’elles n’influencent</w:t>
      </w:r>
      <w:r w:rsidRPr="00362372">
        <w:rPr>
          <w:lang w:val="fr-FR"/>
        </w:rPr>
        <w:t xml:space="preserve"> que les décisions d</w:t>
      </w:r>
      <w:r w:rsidR="005C1809">
        <w:rPr>
          <w:lang w:val="fr-FR"/>
        </w:rPr>
        <w:t>’</w:t>
      </w:r>
      <w:r w:rsidRPr="00362372">
        <w:rPr>
          <w:lang w:val="fr-FR"/>
        </w:rPr>
        <w:t xml:space="preserve">investissement, mais pas </w:t>
      </w:r>
      <w:r w:rsidR="005C1809">
        <w:rPr>
          <w:lang w:val="fr-FR"/>
        </w:rPr>
        <w:t>les</w:t>
      </w:r>
      <w:r w:rsidRPr="00362372">
        <w:rPr>
          <w:lang w:val="fr-FR"/>
        </w:rPr>
        <w:t xml:space="preserve"> comportement</w:t>
      </w:r>
      <w:r w:rsidR="005C1809">
        <w:rPr>
          <w:lang w:val="fr-FR"/>
        </w:rPr>
        <w:t>s</w:t>
      </w:r>
      <w:r w:rsidRPr="00362372">
        <w:rPr>
          <w:lang w:val="fr-FR"/>
        </w:rPr>
        <w:t xml:space="preserve"> d</w:t>
      </w:r>
      <w:r w:rsidR="005C1809">
        <w:rPr>
          <w:lang w:val="fr-FR"/>
        </w:rPr>
        <w:t>’</w:t>
      </w:r>
      <w:r w:rsidRPr="00362372">
        <w:rPr>
          <w:lang w:val="fr-FR"/>
        </w:rPr>
        <w:t xml:space="preserve">utilisation, qui </w:t>
      </w:r>
      <w:r w:rsidR="005C1809">
        <w:rPr>
          <w:lang w:val="fr-FR"/>
        </w:rPr>
        <w:t xml:space="preserve">sont fondés sur les </w:t>
      </w:r>
      <w:r w:rsidRPr="00362372">
        <w:rPr>
          <w:lang w:val="fr-FR"/>
        </w:rPr>
        <w:t>signaux prix contemporains</w:t>
      </w:r>
      <w:r w:rsidR="005C1809">
        <w:rPr>
          <w:lang w:val="fr-FR"/>
        </w:rPr>
        <w:t xml:space="preserve"> à la prise de décision</w:t>
      </w:r>
      <w:r w:rsidRPr="00362372">
        <w:rPr>
          <w:lang w:val="fr-FR"/>
        </w:rPr>
        <w:t>.</w:t>
      </w:r>
    </w:p>
    <w:p w14:paraId="09401289" w14:textId="4AF4DAF5" w:rsidR="0043532C" w:rsidRPr="0043532C" w:rsidRDefault="005130CE" w:rsidP="00656503">
      <w:pPr>
        <w:rPr>
          <w:lang w:val="fr-FR"/>
        </w:rPr>
      </w:pPr>
      <w:r>
        <w:rPr>
          <w:lang w:val="fr-FR"/>
        </w:rPr>
        <w:t xml:space="preserve">A titre d’illustration, cette taxe représente (TVA incluse) en 2018 </w:t>
      </w:r>
      <w:r w:rsidR="00D97A40">
        <w:rPr>
          <w:lang w:val="fr-FR"/>
        </w:rPr>
        <w:t>1,0</w:t>
      </w:r>
      <w:r>
        <w:rPr>
          <w:lang w:val="fr-FR"/>
        </w:rPr>
        <w:t xml:space="preserve">c€/kWh pour le gaz naturel </w:t>
      </w:r>
      <w:r w:rsidR="008559DB">
        <w:rPr>
          <w:lang w:val="fr-FR"/>
        </w:rPr>
        <w:t>et 1,3</w:t>
      </w:r>
      <w:r>
        <w:rPr>
          <w:lang w:val="fr-FR"/>
        </w:rPr>
        <w:t>c€/kWh pour le fioul do</w:t>
      </w:r>
      <w:r w:rsidR="00440B2E">
        <w:rPr>
          <w:lang w:val="fr-FR"/>
        </w:rPr>
        <w:t>mestique, soit respectivement 14</w:t>
      </w:r>
      <w:r>
        <w:rPr>
          <w:lang w:val="fr-FR"/>
        </w:rPr>
        <w:t xml:space="preserve">% et 15% du prix </w:t>
      </w:r>
      <w:r w:rsidR="004E76E5">
        <w:rPr>
          <w:lang w:val="fr-FR"/>
        </w:rPr>
        <w:t xml:space="preserve">(TTC) considéré cette année-là pour </w:t>
      </w:r>
      <w:r>
        <w:rPr>
          <w:lang w:val="fr-FR"/>
        </w:rPr>
        <w:t>ces énergies</w:t>
      </w:r>
      <w:r w:rsidR="004E76E5">
        <w:rPr>
          <w:lang w:val="fr-FR"/>
        </w:rPr>
        <w:t>.</w:t>
      </w:r>
    </w:p>
    <w:p w14:paraId="285C01D0" w14:textId="63D12D04" w:rsidR="006D271C" w:rsidRPr="00362372" w:rsidRDefault="00362372" w:rsidP="00362372">
      <w:pPr>
        <w:pStyle w:val="Titre3"/>
        <w:rPr>
          <w:lang w:val="fr-FR"/>
        </w:rPr>
      </w:pPr>
      <w:r>
        <w:rPr>
          <w:lang w:val="fr-FR"/>
        </w:rPr>
        <w:t>Eco-prêt à taux zéro</w:t>
      </w:r>
      <w:r w:rsidR="006D271C" w:rsidRPr="00362372">
        <w:rPr>
          <w:lang w:val="fr-FR"/>
        </w:rPr>
        <w:t xml:space="preserve"> (</w:t>
      </w:r>
      <w:r>
        <w:rPr>
          <w:lang w:val="fr-FR"/>
        </w:rPr>
        <w:t>EPTZ</w:t>
      </w:r>
      <w:r w:rsidR="006D271C" w:rsidRPr="00362372">
        <w:rPr>
          <w:lang w:val="fr-FR"/>
        </w:rPr>
        <w:t>)</w:t>
      </w:r>
    </w:p>
    <w:p w14:paraId="1B5C3511" w14:textId="36BC3DA6" w:rsidR="00362372" w:rsidRPr="00CA3302" w:rsidRDefault="00362372" w:rsidP="00362372">
      <w:pPr>
        <w:rPr>
          <w:lang w:val="fr-FR"/>
        </w:rPr>
      </w:pPr>
      <w:r w:rsidRPr="00CA3302">
        <w:rPr>
          <w:lang w:val="fr-FR"/>
        </w:rPr>
        <w:t xml:space="preserve">Le </w:t>
      </w:r>
      <w:r w:rsidR="00774583">
        <w:rPr>
          <w:lang w:val="fr-FR"/>
        </w:rPr>
        <w:t>dispositif d’Eco-</w:t>
      </w:r>
      <w:r w:rsidR="00CA3302">
        <w:rPr>
          <w:lang w:val="fr-FR"/>
        </w:rPr>
        <w:t>PTZ</w:t>
      </w:r>
      <w:r w:rsidR="00774583">
        <w:rPr>
          <w:lang w:val="fr-FR"/>
        </w:rPr>
        <w:t xml:space="preserve">, </w:t>
      </w:r>
      <w:r w:rsidRPr="00CA3302">
        <w:rPr>
          <w:lang w:val="fr-FR"/>
        </w:rPr>
        <w:t xml:space="preserve">mis en œuvre </w:t>
      </w:r>
      <w:r w:rsidR="00774583">
        <w:rPr>
          <w:lang w:val="fr-FR"/>
        </w:rPr>
        <w:t xml:space="preserve">en </w:t>
      </w:r>
      <w:r w:rsidRPr="00CA3302">
        <w:rPr>
          <w:lang w:val="fr-FR"/>
        </w:rPr>
        <w:t>2009</w:t>
      </w:r>
      <w:r w:rsidR="00774583">
        <w:rPr>
          <w:lang w:val="fr-FR"/>
        </w:rPr>
        <w:t xml:space="preserve">, </w:t>
      </w:r>
      <w:r w:rsidRPr="00CA3302">
        <w:rPr>
          <w:lang w:val="fr-FR"/>
        </w:rPr>
        <w:t>permet aux ménages d</w:t>
      </w:r>
      <w:r w:rsidR="00774583">
        <w:rPr>
          <w:lang w:val="fr-FR"/>
        </w:rPr>
        <w:t>’</w:t>
      </w:r>
      <w:r w:rsidRPr="00CA3302">
        <w:rPr>
          <w:lang w:val="fr-FR"/>
        </w:rPr>
        <w:t xml:space="preserve">emprunter </w:t>
      </w:r>
      <w:r w:rsidR="00774583">
        <w:rPr>
          <w:lang w:val="fr-FR"/>
        </w:rPr>
        <w:t xml:space="preserve">des fonds </w:t>
      </w:r>
      <w:r w:rsidRPr="00CA3302">
        <w:rPr>
          <w:lang w:val="fr-FR"/>
        </w:rPr>
        <w:t>à taux d</w:t>
      </w:r>
      <w:r w:rsidR="00774583">
        <w:rPr>
          <w:lang w:val="fr-FR"/>
        </w:rPr>
        <w:t>’</w:t>
      </w:r>
      <w:r w:rsidRPr="00CA3302">
        <w:rPr>
          <w:lang w:val="fr-FR"/>
        </w:rPr>
        <w:t xml:space="preserve">intérêt nul auprès </w:t>
      </w:r>
      <w:r w:rsidR="00774583">
        <w:rPr>
          <w:lang w:val="fr-FR"/>
        </w:rPr>
        <w:t xml:space="preserve">d’un </w:t>
      </w:r>
      <w:r w:rsidRPr="00CA3302">
        <w:rPr>
          <w:lang w:val="fr-FR"/>
        </w:rPr>
        <w:t xml:space="preserve">établissement de crédit afin </w:t>
      </w:r>
      <w:r w:rsidR="00774583">
        <w:rPr>
          <w:lang w:val="fr-FR"/>
        </w:rPr>
        <w:t>d’effectuer des travaux de rénovation énergétique de leur logement</w:t>
      </w:r>
      <w:r w:rsidRPr="00CA3302">
        <w:rPr>
          <w:lang w:val="fr-FR"/>
        </w:rPr>
        <w:t xml:space="preserve">. </w:t>
      </w:r>
      <w:r w:rsidR="007A3D88">
        <w:rPr>
          <w:lang w:val="fr-FR"/>
        </w:rPr>
        <w:t xml:space="preserve">L’organisme de prêt </w:t>
      </w:r>
      <w:r w:rsidRPr="00CA3302">
        <w:rPr>
          <w:lang w:val="fr-FR"/>
        </w:rPr>
        <w:t>reçoit un</w:t>
      </w:r>
      <w:r w:rsidR="007A3D88">
        <w:rPr>
          <w:lang w:val="fr-FR"/>
        </w:rPr>
        <w:t>e compensation de l’Etat</w:t>
      </w:r>
      <w:r w:rsidR="00253773">
        <w:rPr>
          <w:lang w:val="fr-FR"/>
        </w:rPr>
        <w:t xml:space="preserve"> pour chaque prêt accordé</w:t>
      </w:r>
      <w:r w:rsidRPr="00CA3302">
        <w:rPr>
          <w:lang w:val="fr-FR"/>
        </w:rPr>
        <w:t xml:space="preserve">. Le </w:t>
      </w:r>
      <w:r w:rsidR="007A3D88">
        <w:rPr>
          <w:lang w:val="fr-FR"/>
        </w:rPr>
        <w:t xml:space="preserve">dispositif </w:t>
      </w:r>
      <w:r w:rsidRPr="00CA3302">
        <w:rPr>
          <w:lang w:val="fr-FR"/>
        </w:rPr>
        <w:t xml:space="preserve">n'impose pas de restrictions sur les caractéristiques socio-économiques des emprunteurs, mais impose des restrictions sur </w:t>
      </w:r>
      <w:r w:rsidR="00822BFB">
        <w:rPr>
          <w:lang w:val="fr-FR"/>
        </w:rPr>
        <w:t>la performance énergétique à réaliser</w:t>
      </w:r>
      <w:r w:rsidRPr="00CA3302">
        <w:rPr>
          <w:lang w:val="fr-FR"/>
        </w:rPr>
        <w:t xml:space="preserve">. </w:t>
      </w:r>
      <w:r w:rsidR="00B71B11">
        <w:rPr>
          <w:lang w:val="fr-FR"/>
        </w:rPr>
        <w:t xml:space="preserve">Ces exigences sont interprétées dans la modélisation </w:t>
      </w:r>
      <w:r w:rsidRPr="00CA3302">
        <w:rPr>
          <w:lang w:val="fr-FR"/>
        </w:rPr>
        <w:t xml:space="preserve">comme un seuil </w:t>
      </w:r>
      <w:r w:rsidR="00C41AA2">
        <w:rPr>
          <w:lang w:val="fr-FR"/>
        </w:rPr>
        <w:t xml:space="preserve">de performance à atteindre </w:t>
      </w:r>
      <w:r w:rsidRPr="00CA3302">
        <w:rPr>
          <w:lang w:val="fr-FR"/>
        </w:rPr>
        <w:t xml:space="preserve">fixé à </w:t>
      </w:r>
      <w:r w:rsidR="00B71B11">
        <w:rPr>
          <w:lang w:val="fr-FR"/>
        </w:rPr>
        <w:t>l’</w:t>
      </w:r>
      <w:r w:rsidRPr="00CA3302">
        <w:rPr>
          <w:lang w:val="fr-FR"/>
        </w:rPr>
        <w:t xml:space="preserve">étiquette D (191 kWh/m²/an) pour </w:t>
      </w:r>
      <w:r w:rsidR="00B71B11">
        <w:rPr>
          <w:lang w:val="fr-FR"/>
        </w:rPr>
        <w:t>la rénovation</w:t>
      </w:r>
      <w:r w:rsidRPr="00CA3302">
        <w:rPr>
          <w:lang w:val="fr-FR"/>
        </w:rPr>
        <w:t xml:space="preserve"> des étiquettes G à E et un seuil fixé à l'étiquette B (76 kWh/m²/an) pour </w:t>
      </w:r>
      <w:r w:rsidR="00B71B11">
        <w:rPr>
          <w:lang w:val="fr-FR"/>
        </w:rPr>
        <w:t xml:space="preserve">la rénovation </w:t>
      </w:r>
      <w:r w:rsidRPr="00CA3302">
        <w:rPr>
          <w:lang w:val="fr-FR"/>
        </w:rPr>
        <w:t>des étiquettes D et C.</w:t>
      </w:r>
    </w:p>
    <w:p w14:paraId="5E89AADD" w14:textId="77777777" w:rsidR="00AB076D" w:rsidRDefault="00DF7E11" w:rsidP="00AB076D">
      <w:pPr>
        <w:rPr>
          <w:lang w:val="fr-FR"/>
        </w:rPr>
      </w:pPr>
      <w:r>
        <w:rPr>
          <w:lang w:val="fr-FR"/>
        </w:rPr>
        <w:t>L’</w:t>
      </w:r>
      <w:r w:rsidR="00362372" w:rsidRPr="00CA3302">
        <w:rPr>
          <w:lang w:val="fr-FR"/>
        </w:rPr>
        <w:t xml:space="preserve">instrument est modélisé comme une subvention égale aux intérêts </w:t>
      </w:r>
      <w:r>
        <w:rPr>
          <w:lang w:val="fr-FR"/>
        </w:rPr>
        <w:t>d’un prêt d’</w:t>
      </w:r>
      <w:r w:rsidR="00362372" w:rsidRPr="00CA3302">
        <w:rPr>
          <w:lang w:val="fr-FR"/>
        </w:rPr>
        <w:t>un montant et d'une durée identiques</w:t>
      </w:r>
      <w:r>
        <w:rPr>
          <w:lang w:val="fr-FR"/>
        </w:rPr>
        <w:t xml:space="preserve"> contracté sur le marché du crédit à la consommation</w:t>
      </w:r>
      <w:r w:rsidR="00362372" w:rsidRPr="00CA3302">
        <w:rPr>
          <w:lang w:val="fr-FR"/>
        </w:rPr>
        <w:t>. La variante de référence</w:t>
      </w:r>
      <w:r w:rsidR="000842D0">
        <w:rPr>
          <w:lang w:val="fr-FR"/>
        </w:rPr>
        <w:t xml:space="preserve"> vise à coller au plus près aux réalisations effectives du dispositif. Ainsi, elle</w:t>
      </w:r>
      <w:r w:rsidR="00362372" w:rsidRPr="00CA3302">
        <w:rPr>
          <w:lang w:val="fr-FR"/>
        </w:rPr>
        <w:t xml:space="preserve"> </w:t>
      </w:r>
      <w:r w:rsidR="00870C0E">
        <w:rPr>
          <w:lang w:val="fr-FR"/>
        </w:rPr>
        <w:t>intègre des plafonds d’emprunt</w:t>
      </w:r>
      <w:r w:rsidR="00CB2700">
        <w:rPr>
          <w:lang w:val="fr-FR"/>
        </w:rPr>
        <w:t xml:space="preserve"> correspondant aux moyennes par catégorie de revenu observées dans </w:t>
      </w:r>
      <w:r w:rsidR="00362372" w:rsidRPr="00CA3302">
        <w:rPr>
          <w:lang w:val="fr-FR"/>
        </w:rPr>
        <w:t xml:space="preserve">les statistiques </w:t>
      </w:r>
      <w:r w:rsidR="001402B2">
        <w:rPr>
          <w:lang w:val="fr-FR"/>
        </w:rPr>
        <w:t xml:space="preserve">produites par la </w:t>
      </w:r>
      <w:r w:rsidR="00991677">
        <w:rPr>
          <w:lang w:val="fr-FR"/>
        </w:rPr>
        <w:t>Société de gestion des financements et de la garantie de l’accession sociale à la propriété (SGFGAS)</w:t>
      </w:r>
      <w:r w:rsidR="001402B2">
        <w:rPr>
          <w:lang w:val="fr-FR"/>
        </w:rPr>
        <w:t>, l’</w:t>
      </w:r>
      <w:r w:rsidR="00362372" w:rsidRPr="00CA3302">
        <w:rPr>
          <w:lang w:val="fr-FR"/>
        </w:rPr>
        <w:t xml:space="preserve">autorité chargée </w:t>
      </w:r>
      <w:r w:rsidR="001402B2">
        <w:rPr>
          <w:lang w:val="fr-FR"/>
        </w:rPr>
        <w:t xml:space="preserve">du suivi du </w:t>
      </w:r>
      <w:r w:rsidR="00362372" w:rsidRPr="00CA3302">
        <w:rPr>
          <w:lang w:val="fr-FR"/>
        </w:rPr>
        <w:t>programme</w:t>
      </w:r>
      <w:r w:rsidR="00AB4361">
        <w:rPr>
          <w:lang w:val="fr-FR"/>
        </w:rPr>
        <w:t xml:space="preserve">. </w:t>
      </w:r>
      <w:r w:rsidR="00CB2700">
        <w:rPr>
          <w:lang w:val="fr-FR"/>
        </w:rPr>
        <w:t>De plus, la durée (cinq ans) et le taux d’intérêt (3%) du prêt alternatif sont spécifiés à partir des résultats de l’enquête OPEN de l’A</w:t>
      </w:r>
      <w:r w:rsidR="00871940">
        <w:rPr>
          <w:lang w:val="fr-FR"/>
        </w:rPr>
        <w:t>deme (2016)</w:t>
      </w:r>
      <w:r w:rsidR="00C17399">
        <w:rPr>
          <w:lang w:val="fr-FR"/>
        </w:rPr>
        <w:t xml:space="preserve">, qui précise les caractéristiques moyennes </w:t>
      </w:r>
      <w:proofErr w:type="gramStart"/>
      <w:r w:rsidR="00C17399">
        <w:rPr>
          <w:lang w:val="fr-FR"/>
        </w:rPr>
        <w:t xml:space="preserve">des </w:t>
      </w:r>
      <w:r w:rsidR="00CB2700">
        <w:rPr>
          <w:lang w:val="fr-FR"/>
        </w:rPr>
        <w:t>prêts accompagnant</w:t>
      </w:r>
      <w:proofErr w:type="gramEnd"/>
      <w:r w:rsidR="00CB2700">
        <w:rPr>
          <w:lang w:val="fr-FR"/>
        </w:rPr>
        <w:t xml:space="preserve"> les travaux de rénovation énergétique.</w:t>
      </w:r>
      <w:r w:rsidR="00362372" w:rsidRPr="00CA3302">
        <w:rPr>
          <w:lang w:val="fr-FR"/>
        </w:rPr>
        <w:t xml:space="preserve"> Ces restrictions sont supprimé</w:t>
      </w:r>
      <w:r w:rsidR="00C53F63">
        <w:rPr>
          <w:lang w:val="fr-FR"/>
        </w:rPr>
        <w:t>e</w:t>
      </w:r>
      <w:r w:rsidR="00362372" w:rsidRPr="00CA3302">
        <w:rPr>
          <w:lang w:val="fr-FR"/>
        </w:rPr>
        <w:t>s dans la variante</w:t>
      </w:r>
      <w:r w:rsidR="00C53F63">
        <w:rPr>
          <w:lang w:val="fr-FR"/>
        </w:rPr>
        <w:t xml:space="preserve"> </w:t>
      </w:r>
      <w:r w:rsidR="00CA3302">
        <w:rPr>
          <w:lang w:val="fr-FR"/>
        </w:rPr>
        <w:t>EPTZ</w:t>
      </w:r>
      <w:r w:rsidR="00362372" w:rsidRPr="00CA3302">
        <w:rPr>
          <w:lang w:val="fr-FR"/>
        </w:rPr>
        <w:t>+, qui a pour but d</w:t>
      </w:r>
      <w:r w:rsidR="00C53F63">
        <w:rPr>
          <w:lang w:val="fr-FR"/>
        </w:rPr>
        <w:t>’</w:t>
      </w:r>
      <w:r w:rsidR="00362372" w:rsidRPr="00CA3302">
        <w:rPr>
          <w:lang w:val="fr-FR"/>
        </w:rPr>
        <w:t xml:space="preserve">évaluer </w:t>
      </w:r>
      <w:r w:rsidR="00C53F63">
        <w:rPr>
          <w:lang w:val="fr-FR"/>
        </w:rPr>
        <w:t>l’</w:t>
      </w:r>
      <w:r w:rsidR="00362372" w:rsidRPr="00CA3302">
        <w:rPr>
          <w:lang w:val="fr-FR"/>
        </w:rPr>
        <w:t>instrument</w:t>
      </w:r>
      <w:r w:rsidR="00C53F63">
        <w:rPr>
          <w:lang w:val="fr-FR"/>
        </w:rPr>
        <w:t xml:space="preserve"> comme s’il fonctionnait à son plein potentiel</w:t>
      </w:r>
      <w:r w:rsidR="0011323F">
        <w:rPr>
          <w:rStyle w:val="Appelnotedebasdep"/>
          <w:lang w:val="fr-FR"/>
        </w:rPr>
        <w:footnoteReference w:id="5"/>
      </w:r>
      <w:r w:rsidR="00362372" w:rsidRPr="00CA3302">
        <w:rPr>
          <w:lang w:val="fr-FR"/>
        </w:rPr>
        <w:t xml:space="preserve">. </w:t>
      </w:r>
      <w:r w:rsidR="009E0D4E">
        <w:rPr>
          <w:lang w:val="fr-FR"/>
        </w:rPr>
        <w:t xml:space="preserve">Pour un montant </w:t>
      </w:r>
      <w:r w:rsidR="00F6535D">
        <w:rPr>
          <w:lang w:val="fr-FR"/>
        </w:rPr>
        <w:t xml:space="preserve">moyen </w:t>
      </w:r>
      <w:r w:rsidR="009E0D4E">
        <w:rPr>
          <w:lang w:val="fr-FR"/>
        </w:rPr>
        <w:t>d’emprunt de 10 </w:t>
      </w:r>
      <w:r w:rsidR="00F6535D">
        <w:rPr>
          <w:lang w:val="fr-FR"/>
        </w:rPr>
        <w:t>192</w:t>
      </w:r>
      <w:r w:rsidR="009E0D4E">
        <w:rPr>
          <w:lang w:val="fr-FR"/>
        </w:rPr>
        <w:t xml:space="preserve">€, ces </w:t>
      </w:r>
      <w:r w:rsidR="00C44EF2">
        <w:rPr>
          <w:lang w:val="fr-FR"/>
        </w:rPr>
        <w:t xml:space="preserve">spécifications </w:t>
      </w:r>
      <w:r w:rsidR="009E0D4E">
        <w:rPr>
          <w:lang w:val="fr-FR"/>
        </w:rPr>
        <w:t xml:space="preserve">représentent un montant d’intérêts de </w:t>
      </w:r>
      <w:r w:rsidR="009C7244">
        <w:rPr>
          <w:lang w:val="fr-FR"/>
        </w:rPr>
        <w:t>7</w:t>
      </w:r>
      <w:r w:rsidR="00FE5C2D">
        <w:rPr>
          <w:lang w:val="fr-FR"/>
        </w:rPr>
        <w:t>96</w:t>
      </w:r>
      <w:r w:rsidR="00107ACD">
        <w:rPr>
          <w:lang w:val="fr-FR"/>
        </w:rPr>
        <w:t>€ et 2 1</w:t>
      </w:r>
      <w:r w:rsidR="00FE5C2D">
        <w:rPr>
          <w:lang w:val="fr-FR"/>
        </w:rPr>
        <w:t>91</w:t>
      </w:r>
      <w:r w:rsidR="00107ACD">
        <w:rPr>
          <w:lang w:val="fr-FR"/>
        </w:rPr>
        <w:t>€, respectivement</w:t>
      </w:r>
      <w:r w:rsidR="006D06BE">
        <w:rPr>
          <w:lang w:val="fr-FR"/>
        </w:rPr>
        <w:t xml:space="preserve">. Appliquées au coût moyen de rénovation dans le modèle, elles </w:t>
      </w:r>
      <w:r w:rsidR="001B4F16">
        <w:rPr>
          <w:lang w:val="fr-FR"/>
        </w:rPr>
        <w:t>représente</w:t>
      </w:r>
      <w:r w:rsidR="005871D1">
        <w:rPr>
          <w:lang w:val="fr-FR"/>
        </w:rPr>
        <w:t>nt</w:t>
      </w:r>
      <w:r w:rsidR="001B4F16">
        <w:rPr>
          <w:lang w:val="fr-FR"/>
        </w:rPr>
        <w:t xml:space="preserve"> une subvention </w:t>
      </w:r>
      <w:r w:rsidR="005871D1" w:rsidRPr="005E0E66">
        <w:rPr>
          <w:i/>
          <w:lang w:val="fr-FR"/>
        </w:rPr>
        <w:t>ad valorem</w:t>
      </w:r>
      <w:r w:rsidR="005871D1">
        <w:rPr>
          <w:lang w:val="fr-FR"/>
        </w:rPr>
        <w:t xml:space="preserve"> moyenne </w:t>
      </w:r>
      <w:r w:rsidR="00362372" w:rsidRPr="00CA3302">
        <w:rPr>
          <w:lang w:val="fr-FR"/>
        </w:rPr>
        <w:t xml:space="preserve">de </w:t>
      </w:r>
      <w:r w:rsidR="00F13EE7">
        <w:rPr>
          <w:lang w:val="fr-FR"/>
        </w:rPr>
        <w:t>8</w:t>
      </w:r>
      <w:r w:rsidR="00362372" w:rsidRPr="00CA3302">
        <w:rPr>
          <w:lang w:val="fr-FR"/>
        </w:rPr>
        <w:t xml:space="preserve">% </w:t>
      </w:r>
      <w:r w:rsidR="001B4F16">
        <w:rPr>
          <w:lang w:val="fr-FR"/>
        </w:rPr>
        <w:t xml:space="preserve">en référence et de </w:t>
      </w:r>
      <w:r w:rsidR="00F13EE7" w:rsidRPr="00CA3302">
        <w:rPr>
          <w:lang w:val="fr-FR"/>
        </w:rPr>
        <w:t>2</w:t>
      </w:r>
      <w:r w:rsidR="00F13EE7">
        <w:rPr>
          <w:lang w:val="fr-FR"/>
        </w:rPr>
        <w:t>2</w:t>
      </w:r>
      <w:r w:rsidR="00362372" w:rsidRPr="00CA3302">
        <w:rPr>
          <w:lang w:val="fr-FR"/>
        </w:rPr>
        <w:t>%</w:t>
      </w:r>
      <w:r w:rsidR="001B4F16">
        <w:rPr>
          <w:lang w:val="fr-FR"/>
        </w:rPr>
        <w:t xml:space="preserve"> dans la variante EPTZ+</w:t>
      </w:r>
      <w:r w:rsidR="00362372" w:rsidRPr="00CA3302">
        <w:rPr>
          <w:lang w:val="fr-FR"/>
        </w:rPr>
        <w:t xml:space="preserve">. Les principales différences entre les deux scénarios sont </w:t>
      </w:r>
      <w:r w:rsidR="009E2B9E">
        <w:rPr>
          <w:lang w:val="fr-FR"/>
        </w:rPr>
        <w:t>récapitulées</w:t>
      </w:r>
      <w:r w:rsidR="005469B3">
        <w:rPr>
          <w:lang w:val="fr-FR"/>
        </w:rPr>
        <w:t xml:space="preserve"> au T</w:t>
      </w:r>
      <w:r w:rsidR="00362372" w:rsidRPr="00CA3302">
        <w:rPr>
          <w:lang w:val="fr-FR"/>
        </w:rPr>
        <w:t>ableau 6.</w:t>
      </w:r>
    </w:p>
    <w:p w14:paraId="73961780" w14:textId="626CC92F" w:rsidR="00B32657" w:rsidRPr="002D7071" w:rsidRDefault="00B32657" w:rsidP="00362372">
      <w:pPr>
        <w:pStyle w:val="Lgende"/>
        <w:keepNext/>
        <w:rPr>
          <w:lang w:val="fr-FR"/>
        </w:rPr>
      </w:pPr>
      <w:r w:rsidRPr="002D7071">
        <w:rPr>
          <w:lang w:val="fr-FR"/>
        </w:rPr>
        <w:lastRenderedPageBreak/>
        <w:t>Table</w:t>
      </w:r>
      <w:r w:rsidR="000F6418" w:rsidRPr="002D7071">
        <w:rPr>
          <w:lang w:val="fr-FR"/>
        </w:rPr>
        <w:t>au</w:t>
      </w:r>
      <w:r w:rsidRPr="002D7071">
        <w:rPr>
          <w:lang w:val="fr-FR"/>
        </w:rPr>
        <w:t xml:space="preserve"> </w:t>
      </w:r>
      <w:r w:rsidR="005771E8" w:rsidRPr="004500BB">
        <w:rPr>
          <w:lang w:val="en-GB"/>
        </w:rPr>
        <w:fldChar w:fldCharType="begin"/>
      </w:r>
      <w:r w:rsidR="005771E8" w:rsidRPr="002D7071">
        <w:rPr>
          <w:lang w:val="fr-FR"/>
        </w:rPr>
        <w:instrText xml:space="preserve"> SEQ Table \* ARABIC </w:instrText>
      </w:r>
      <w:r w:rsidR="005771E8" w:rsidRPr="004500BB">
        <w:rPr>
          <w:lang w:val="en-GB"/>
        </w:rPr>
        <w:fldChar w:fldCharType="separate"/>
      </w:r>
      <w:r w:rsidR="00FB5040" w:rsidRPr="002D7071">
        <w:rPr>
          <w:noProof/>
          <w:lang w:val="fr-FR"/>
        </w:rPr>
        <w:t>6</w:t>
      </w:r>
      <w:r w:rsidR="005771E8" w:rsidRPr="004500BB">
        <w:rPr>
          <w:noProof/>
          <w:lang w:val="en-GB"/>
        </w:rPr>
        <w:fldChar w:fldCharType="end"/>
      </w:r>
      <w:r w:rsidRPr="002D7071">
        <w:rPr>
          <w:lang w:val="fr-FR"/>
        </w:rPr>
        <w:t xml:space="preserve">: </w:t>
      </w:r>
      <w:r w:rsidR="000F6418" w:rsidRPr="002D7071">
        <w:rPr>
          <w:lang w:val="fr-FR"/>
        </w:rPr>
        <w:t>Paramétrage des variantes EPTZ</w:t>
      </w:r>
    </w:p>
    <w:tbl>
      <w:tblPr>
        <w:tblStyle w:val="Grilledutableau"/>
        <w:tblW w:w="0" w:type="auto"/>
        <w:tblLook w:val="04A0" w:firstRow="1" w:lastRow="0" w:firstColumn="1" w:lastColumn="0" w:noHBand="0" w:noVBand="1"/>
      </w:tblPr>
      <w:tblGrid>
        <w:gridCol w:w="3207"/>
        <w:gridCol w:w="3207"/>
        <w:gridCol w:w="3208"/>
      </w:tblGrid>
      <w:tr w:rsidR="00B32657" w:rsidRPr="004500BB" w14:paraId="6E9D97F4" w14:textId="77777777" w:rsidTr="00D902DF">
        <w:tc>
          <w:tcPr>
            <w:tcW w:w="3207" w:type="dxa"/>
          </w:tcPr>
          <w:p w14:paraId="60108C9F" w14:textId="77777777" w:rsidR="00B32657" w:rsidRPr="004500BB" w:rsidRDefault="00B32657">
            <w:pPr>
              <w:pStyle w:val="NormalWeb"/>
              <w:spacing w:before="0" w:beforeAutospacing="0" w:after="0" w:afterAutospacing="0"/>
              <w:rPr>
                <w:rFonts w:ascii="Arial" w:hAnsi="Arial" w:cs="Arial"/>
                <w:sz w:val="18"/>
                <w:szCs w:val="18"/>
                <w:lang w:val="en-GB"/>
              </w:rPr>
            </w:pPr>
            <w:r w:rsidRPr="004500BB">
              <w:rPr>
                <w:rFonts w:ascii="Calibri" w:hAnsi="Calibri" w:cs="Arial"/>
                <w:b/>
                <w:bCs/>
                <w:color w:val="FFFFFF" w:themeColor="light1"/>
                <w:kern w:val="24"/>
                <w:sz w:val="18"/>
                <w:szCs w:val="18"/>
                <w:lang w:val="en-GB"/>
              </w:rPr>
              <w:t>Scénarios</w:t>
            </w:r>
          </w:p>
        </w:tc>
        <w:tc>
          <w:tcPr>
            <w:tcW w:w="3207" w:type="dxa"/>
          </w:tcPr>
          <w:p w14:paraId="75EFAB2A" w14:textId="15688D46" w:rsidR="00B32657" w:rsidRPr="004500BB" w:rsidRDefault="00CA3302">
            <w:pPr>
              <w:pStyle w:val="NormalWeb"/>
              <w:spacing w:before="0" w:beforeAutospacing="0" w:after="0" w:afterAutospacing="0"/>
              <w:jc w:val="center"/>
              <w:rPr>
                <w:rFonts w:ascii="Arial" w:hAnsi="Arial" w:cs="Arial"/>
                <w:sz w:val="18"/>
                <w:szCs w:val="18"/>
                <w:lang w:val="en-GB"/>
              </w:rPr>
            </w:pPr>
            <w:r>
              <w:rPr>
                <w:rFonts w:ascii="Calibri" w:hAnsi="Calibri" w:cs="Arial"/>
                <w:b/>
                <w:bCs/>
                <w:kern w:val="24"/>
                <w:sz w:val="18"/>
                <w:szCs w:val="18"/>
                <w:lang w:val="en-GB"/>
              </w:rPr>
              <w:t>EPTZ</w:t>
            </w:r>
          </w:p>
        </w:tc>
        <w:tc>
          <w:tcPr>
            <w:tcW w:w="3208" w:type="dxa"/>
          </w:tcPr>
          <w:p w14:paraId="068670AF" w14:textId="18DCD913" w:rsidR="00B32657" w:rsidRPr="004500BB" w:rsidRDefault="00CA3302">
            <w:pPr>
              <w:pStyle w:val="NormalWeb"/>
              <w:spacing w:before="0" w:beforeAutospacing="0" w:after="0" w:afterAutospacing="0"/>
              <w:jc w:val="center"/>
              <w:rPr>
                <w:rFonts w:ascii="Arial" w:hAnsi="Arial" w:cs="Arial"/>
                <w:sz w:val="18"/>
                <w:szCs w:val="18"/>
                <w:lang w:val="en-GB"/>
              </w:rPr>
            </w:pPr>
            <w:r>
              <w:rPr>
                <w:rFonts w:ascii="Calibri" w:hAnsi="Calibri" w:cs="Arial"/>
                <w:b/>
                <w:bCs/>
                <w:kern w:val="24"/>
                <w:sz w:val="18"/>
                <w:szCs w:val="18"/>
                <w:lang w:val="en-GB"/>
              </w:rPr>
              <w:t>EPTZ</w:t>
            </w:r>
            <w:r w:rsidR="00B32657" w:rsidRPr="004500BB">
              <w:rPr>
                <w:rFonts w:ascii="Calibri" w:hAnsi="Calibri" w:cs="Arial"/>
                <w:b/>
                <w:bCs/>
                <w:kern w:val="24"/>
                <w:sz w:val="18"/>
                <w:szCs w:val="18"/>
                <w:lang w:val="en-GB"/>
              </w:rPr>
              <w:t>+</w:t>
            </w:r>
          </w:p>
        </w:tc>
      </w:tr>
      <w:tr w:rsidR="00B32657" w:rsidRPr="004500BB" w14:paraId="53256000" w14:textId="77777777" w:rsidTr="00D902DF">
        <w:tc>
          <w:tcPr>
            <w:tcW w:w="3207" w:type="dxa"/>
          </w:tcPr>
          <w:p w14:paraId="2EDB5631" w14:textId="589881A9" w:rsidR="00B32657" w:rsidRPr="004500BB" w:rsidRDefault="000F6418">
            <w:pPr>
              <w:pStyle w:val="NormalWeb"/>
              <w:spacing w:before="0" w:beforeAutospacing="0" w:after="0" w:afterAutospacing="0"/>
              <w:rPr>
                <w:rFonts w:ascii="Arial" w:hAnsi="Arial" w:cs="Arial"/>
                <w:sz w:val="18"/>
                <w:szCs w:val="18"/>
                <w:lang w:val="en-GB"/>
              </w:rPr>
            </w:pPr>
            <w:r>
              <w:rPr>
                <w:rFonts w:ascii="Calibri" w:hAnsi="Calibri" w:cs="Arial"/>
                <w:color w:val="000000" w:themeColor="dark1"/>
                <w:kern w:val="24"/>
                <w:sz w:val="18"/>
                <w:szCs w:val="18"/>
                <w:lang w:val="en-GB"/>
              </w:rPr>
              <w:t>Taux d’intérêt contrefactuel</w:t>
            </w:r>
          </w:p>
        </w:tc>
        <w:tc>
          <w:tcPr>
            <w:tcW w:w="3207" w:type="dxa"/>
          </w:tcPr>
          <w:p w14:paraId="2F8654AB" w14:textId="651FFF7E" w:rsidR="00B32657" w:rsidRPr="004500BB" w:rsidRDefault="00B32657" w:rsidP="00281C40">
            <w:pPr>
              <w:pStyle w:val="NormalWeb"/>
              <w:spacing w:before="0" w:beforeAutospacing="0" w:after="0" w:afterAutospacing="0"/>
              <w:jc w:val="center"/>
              <w:rPr>
                <w:rFonts w:ascii="Arial" w:hAnsi="Arial" w:cs="Arial"/>
                <w:sz w:val="18"/>
                <w:szCs w:val="18"/>
                <w:lang w:val="en-GB"/>
              </w:rPr>
            </w:pPr>
            <w:r w:rsidRPr="004500BB">
              <w:rPr>
                <w:rFonts w:ascii="Calibri" w:hAnsi="Calibri" w:cs="Arial"/>
                <w:b/>
                <w:bCs/>
                <w:color w:val="000000" w:themeColor="dark1"/>
                <w:kern w:val="24"/>
                <w:sz w:val="18"/>
                <w:szCs w:val="18"/>
                <w:lang w:val="en-GB"/>
              </w:rPr>
              <w:t>3% (</w:t>
            </w:r>
            <w:r w:rsidR="00281C40">
              <w:rPr>
                <w:rFonts w:ascii="Calibri" w:hAnsi="Calibri" w:cs="Arial"/>
                <w:b/>
                <w:bCs/>
                <w:color w:val="000000" w:themeColor="dark1"/>
                <w:kern w:val="24"/>
                <w:sz w:val="18"/>
                <w:szCs w:val="18"/>
                <w:lang w:val="en-GB"/>
              </w:rPr>
              <w:t>Ademe, 2016</w:t>
            </w:r>
            <w:r w:rsidRPr="004500BB">
              <w:rPr>
                <w:rFonts w:ascii="Calibri" w:hAnsi="Calibri" w:cs="Arial"/>
                <w:b/>
                <w:bCs/>
                <w:color w:val="000000" w:themeColor="dark1"/>
                <w:kern w:val="24"/>
                <w:sz w:val="18"/>
                <w:szCs w:val="18"/>
                <w:lang w:val="en-GB"/>
              </w:rPr>
              <w:t>)</w:t>
            </w:r>
          </w:p>
        </w:tc>
        <w:tc>
          <w:tcPr>
            <w:tcW w:w="3208" w:type="dxa"/>
          </w:tcPr>
          <w:p w14:paraId="4F6AE6CF" w14:textId="77777777" w:rsidR="00B32657" w:rsidRPr="004500BB" w:rsidRDefault="00B32657">
            <w:pPr>
              <w:pStyle w:val="NormalWeb"/>
              <w:spacing w:before="0" w:beforeAutospacing="0" w:after="0" w:afterAutospacing="0"/>
              <w:jc w:val="center"/>
              <w:rPr>
                <w:rFonts w:ascii="Arial" w:hAnsi="Arial" w:cs="Arial"/>
                <w:sz w:val="18"/>
                <w:szCs w:val="18"/>
                <w:lang w:val="en-GB"/>
              </w:rPr>
            </w:pPr>
            <w:r w:rsidRPr="004500BB">
              <w:rPr>
                <w:rFonts w:ascii="Calibri" w:hAnsi="Calibri" w:cs="Arial"/>
                <w:color w:val="000000" w:themeColor="dark1"/>
                <w:kern w:val="24"/>
                <w:sz w:val="18"/>
                <w:szCs w:val="18"/>
                <w:lang w:val="en-GB"/>
              </w:rPr>
              <w:t>4%</w:t>
            </w:r>
          </w:p>
        </w:tc>
      </w:tr>
      <w:tr w:rsidR="00B32657" w:rsidRPr="004500BB" w14:paraId="25AEF7A9" w14:textId="77777777" w:rsidTr="00D902DF">
        <w:tc>
          <w:tcPr>
            <w:tcW w:w="3207" w:type="dxa"/>
          </w:tcPr>
          <w:p w14:paraId="5BE0C0CE" w14:textId="1B0AD0FA" w:rsidR="00B32657" w:rsidRPr="004500BB" w:rsidRDefault="002D7071">
            <w:pPr>
              <w:pStyle w:val="NormalWeb"/>
              <w:spacing w:before="0" w:beforeAutospacing="0" w:after="0" w:afterAutospacing="0"/>
              <w:rPr>
                <w:rFonts w:ascii="Arial" w:hAnsi="Arial" w:cs="Arial"/>
                <w:sz w:val="18"/>
                <w:szCs w:val="18"/>
                <w:lang w:val="en-GB"/>
              </w:rPr>
            </w:pPr>
            <w:r>
              <w:rPr>
                <w:rFonts w:ascii="Calibri" w:hAnsi="Calibri" w:cs="Arial"/>
                <w:color w:val="000000" w:themeColor="dark1"/>
                <w:kern w:val="24"/>
                <w:sz w:val="18"/>
                <w:szCs w:val="18"/>
                <w:lang w:val="en-GB"/>
              </w:rPr>
              <w:t>Durée du prêt</w:t>
            </w:r>
          </w:p>
        </w:tc>
        <w:tc>
          <w:tcPr>
            <w:tcW w:w="3207" w:type="dxa"/>
          </w:tcPr>
          <w:p w14:paraId="585192C0" w14:textId="17997325" w:rsidR="00B32657" w:rsidRPr="004500BB" w:rsidRDefault="00B32657" w:rsidP="00281C40">
            <w:pPr>
              <w:pStyle w:val="NormalWeb"/>
              <w:spacing w:before="0" w:beforeAutospacing="0" w:after="0" w:afterAutospacing="0"/>
              <w:jc w:val="center"/>
              <w:rPr>
                <w:rFonts w:ascii="Arial" w:hAnsi="Arial" w:cs="Arial"/>
                <w:sz w:val="18"/>
                <w:szCs w:val="18"/>
                <w:lang w:val="en-GB"/>
              </w:rPr>
            </w:pPr>
            <w:r w:rsidRPr="004500BB">
              <w:rPr>
                <w:rFonts w:ascii="Calibri" w:hAnsi="Calibri" w:cs="Arial"/>
                <w:b/>
                <w:bCs/>
                <w:color w:val="000000" w:themeColor="dark1"/>
                <w:kern w:val="24"/>
                <w:sz w:val="18"/>
                <w:szCs w:val="18"/>
                <w:lang w:val="en-GB"/>
              </w:rPr>
              <w:t xml:space="preserve">5 </w:t>
            </w:r>
            <w:r w:rsidR="002D7071">
              <w:rPr>
                <w:rFonts w:ascii="Calibri" w:hAnsi="Calibri" w:cs="Arial"/>
                <w:b/>
                <w:bCs/>
                <w:color w:val="000000" w:themeColor="dark1"/>
                <w:kern w:val="24"/>
                <w:sz w:val="18"/>
                <w:szCs w:val="18"/>
                <w:lang w:val="en-GB"/>
              </w:rPr>
              <w:t>an</w:t>
            </w:r>
            <w:r w:rsidR="003302EC" w:rsidRPr="004500BB">
              <w:rPr>
                <w:rFonts w:ascii="Calibri" w:hAnsi="Calibri" w:cs="Arial"/>
                <w:b/>
                <w:bCs/>
                <w:color w:val="000000" w:themeColor="dark1"/>
                <w:kern w:val="24"/>
                <w:sz w:val="18"/>
                <w:szCs w:val="18"/>
                <w:lang w:val="en-GB"/>
              </w:rPr>
              <w:t>s</w:t>
            </w:r>
            <w:r w:rsidRPr="004500BB">
              <w:rPr>
                <w:rFonts w:ascii="Calibri" w:hAnsi="Calibri" w:cs="Arial"/>
                <w:b/>
                <w:bCs/>
                <w:color w:val="000000" w:themeColor="dark1"/>
                <w:kern w:val="24"/>
                <w:sz w:val="18"/>
                <w:szCs w:val="18"/>
                <w:lang w:val="en-GB"/>
              </w:rPr>
              <w:t xml:space="preserve"> (</w:t>
            </w:r>
            <w:r w:rsidR="00281C40">
              <w:rPr>
                <w:rFonts w:ascii="Calibri" w:hAnsi="Calibri" w:cs="Arial"/>
                <w:b/>
                <w:bCs/>
                <w:color w:val="000000" w:themeColor="dark1"/>
                <w:kern w:val="24"/>
                <w:sz w:val="18"/>
                <w:szCs w:val="18"/>
                <w:lang w:val="en-GB"/>
              </w:rPr>
              <w:t>Ademe, 2016</w:t>
            </w:r>
            <w:r w:rsidRPr="004500BB">
              <w:rPr>
                <w:rFonts w:ascii="Calibri" w:hAnsi="Calibri" w:cs="Arial"/>
                <w:b/>
                <w:bCs/>
                <w:color w:val="000000" w:themeColor="dark1"/>
                <w:kern w:val="24"/>
                <w:sz w:val="18"/>
                <w:szCs w:val="18"/>
                <w:lang w:val="en-GB"/>
              </w:rPr>
              <w:t>)</w:t>
            </w:r>
          </w:p>
        </w:tc>
        <w:tc>
          <w:tcPr>
            <w:tcW w:w="3208" w:type="dxa"/>
          </w:tcPr>
          <w:p w14:paraId="4C77A983" w14:textId="2FE60B0C" w:rsidR="00B32657" w:rsidRPr="004500BB" w:rsidRDefault="00B32657" w:rsidP="002D7071">
            <w:pPr>
              <w:pStyle w:val="NormalWeb"/>
              <w:spacing w:before="0" w:beforeAutospacing="0" w:after="0" w:afterAutospacing="0"/>
              <w:jc w:val="center"/>
              <w:rPr>
                <w:rFonts w:ascii="Arial" w:hAnsi="Arial" w:cs="Arial"/>
                <w:sz w:val="18"/>
                <w:szCs w:val="18"/>
                <w:lang w:val="en-GB"/>
              </w:rPr>
            </w:pPr>
            <w:r w:rsidRPr="004500BB">
              <w:rPr>
                <w:rFonts w:ascii="Calibri" w:hAnsi="Calibri" w:cs="Arial"/>
                <w:color w:val="000000" w:themeColor="dark1"/>
                <w:kern w:val="24"/>
                <w:sz w:val="18"/>
                <w:szCs w:val="18"/>
                <w:lang w:val="en-GB"/>
              </w:rPr>
              <w:t xml:space="preserve">10 </w:t>
            </w:r>
            <w:r w:rsidR="002D7071">
              <w:rPr>
                <w:rFonts w:ascii="Calibri" w:hAnsi="Calibri" w:cs="Arial"/>
                <w:color w:val="000000" w:themeColor="dark1"/>
                <w:kern w:val="24"/>
                <w:sz w:val="18"/>
                <w:szCs w:val="18"/>
                <w:lang w:val="en-GB"/>
              </w:rPr>
              <w:t>an</w:t>
            </w:r>
            <w:r w:rsidR="003302EC" w:rsidRPr="004500BB">
              <w:rPr>
                <w:rFonts w:ascii="Calibri" w:hAnsi="Calibri" w:cs="Arial"/>
                <w:color w:val="000000" w:themeColor="dark1"/>
                <w:kern w:val="24"/>
                <w:sz w:val="18"/>
                <w:szCs w:val="18"/>
                <w:lang w:val="en-GB"/>
              </w:rPr>
              <w:t>s</w:t>
            </w:r>
          </w:p>
        </w:tc>
      </w:tr>
      <w:tr w:rsidR="00B32657" w:rsidRPr="004500BB" w14:paraId="2285EE98" w14:textId="77777777" w:rsidTr="00D902DF">
        <w:tc>
          <w:tcPr>
            <w:tcW w:w="3207" w:type="dxa"/>
          </w:tcPr>
          <w:p w14:paraId="445FC58B" w14:textId="019793BF" w:rsidR="00B32657" w:rsidRPr="004500BB" w:rsidRDefault="002D7071">
            <w:pPr>
              <w:pStyle w:val="NormalWeb"/>
              <w:spacing w:before="0" w:beforeAutospacing="0" w:after="0" w:afterAutospacing="0"/>
              <w:rPr>
                <w:rFonts w:ascii="Arial" w:hAnsi="Arial" w:cs="Arial"/>
                <w:sz w:val="18"/>
                <w:szCs w:val="18"/>
                <w:lang w:val="en-GB"/>
              </w:rPr>
            </w:pPr>
            <w:r>
              <w:rPr>
                <w:rFonts w:ascii="Calibri" w:hAnsi="Calibri" w:cs="Arial"/>
                <w:color w:val="000000" w:themeColor="dark1"/>
                <w:kern w:val="24"/>
                <w:sz w:val="18"/>
                <w:szCs w:val="18"/>
                <w:lang w:val="en-GB"/>
              </w:rPr>
              <w:t>Plafond d’emprunt</w:t>
            </w:r>
          </w:p>
        </w:tc>
        <w:tc>
          <w:tcPr>
            <w:tcW w:w="3207" w:type="dxa"/>
          </w:tcPr>
          <w:p w14:paraId="292A3359" w14:textId="253840A9" w:rsidR="00B32657" w:rsidRPr="00865FCE" w:rsidRDefault="002D7071">
            <w:pPr>
              <w:pStyle w:val="NormalWeb"/>
              <w:spacing w:before="0" w:beforeAutospacing="0" w:after="0" w:afterAutospacing="0"/>
              <w:jc w:val="center"/>
              <w:rPr>
                <w:rFonts w:ascii="Arial" w:hAnsi="Arial" w:cs="Arial"/>
                <w:sz w:val="18"/>
                <w:szCs w:val="18"/>
                <w:lang w:val="fr-FR"/>
              </w:rPr>
            </w:pPr>
            <w:r w:rsidRPr="00865FCE">
              <w:rPr>
                <w:rFonts w:ascii="Calibri" w:hAnsi="Calibri" w:cs="Arial"/>
                <w:b/>
                <w:bCs/>
                <w:color w:val="000000" w:themeColor="dark1"/>
                <w:kern w:val="24"/>
                <w:sz w:val="18"/>
                <w:szCs w:val="18"/>
                <w:lang w:val="fr-FR"/>
              </w:rPr>
              <w:t xml:space="preserve">21 </w:t>
            </w:r>
            <w:r w:rsidR="00B32657" w:rsidRPr="00865FCE">
              <w:rPr>
                <w:rFonts w:ascii="Calibri" w:hAnsi="Calibri" w:cs="Arial"/>
                <w:b/>
                <w:bCs/>
                <w:color w:val="000000" w:themeColor="dark1"/>
                <w:kern w:val="24"/>
                <w:sz w:val="18"/>
                <w:szCs w:val="18"/>
                <w:lang w:val="fr-FR"/>
              </w:rPr>
              <w:t xml:space="preserve">000 € </w:t>
            </w:r>
            <w:r w:rsidRPr="00865FCE">
              <w:rPr>
                <w:rFonts w:ascii="Calibri" w:hAnsi="Calibri" w:cs="Arial"/>
                <w:b/>
                <w:bCs/>
                <w:color w:val="000000" w:themeColor="dark1"/>
                <w:kern w:val="24"/>
                <w:sz w:val="18"/>
                <w:szCs w:val="18"/>
                <w:lang w:val="fr-FR"/>
              </w:rPr>
              <w:t xml:space="preserve">pour </w:t>
            </w:r>
            <w:r w:rsidR="00B32657" w:rsidRPr="00865FCE">
              <w:rPr>
                <w:rFonts w:ascii="Calibri" w:hAnsi="Calibri" w:cs="Arial"/>
                <w:b/>
                <w:bCs/>
                <w:color w:val="000000" w:themeColor="dark1"/>
                <w:kern w:val="24"/>
                <w:sz w:val="18"/>
                <w:szCs w:val="18"/>
                <w:lang w:val="fr-FR"/>
              </w:rPr>
              <w:t>C5</w:t>
            </w:r>
          </w:p>
          <w:p w14:paraId="5300AC9B" w14:textId="77777777" w:rsidR="00B32657" w:rsidRPr="00865FCE" w:rsidRDefault="00B32657">
            <w:pPr>
              <w:pStyle w:val="NormalWeb"/>
              <w:spacing w:before="0" w:beforeAutospacing="0" w:after="0" w:afterAutospacing="0"/>
              <w:jc w:val="center"/>
              <w:rPr>
                <w:rFonts w:ascii="Arial" w:hAnsi="Arial" w:cs="Arial"/>
                <w:sz w:val="18"/>
                <w:szCs w:val="18"/>
                <w:lang w:val="fr-FR"/>
              </w:rPr>
            </w:pPr>
            <w:r w:rsidRPr="00865FCE">
              <w:rPr>
                <w:rFonts w:ascii="Calibri" w:hAnsi="Calibri" w:cs="Arial"/>
                <w:b/>
                <w:bCs/>
                <w:color w:val="000000" w:themeColor="dark1"/>
                <w:kern w:val="24"/>
                <w:sz w:val="18"/>
                <w:szCs w:val="18"/>
                <w:lang w:val="fr-FR"/>
              </w:rPr>
              <w:t>…</w:t>
            </w:r>
          </w:p>
          <w:p w14:paraId="5BEA96E4" w14:textId="64E5C892" w:rsidR="00B32657" w:rsidRPr="00865FCE" w:rsidRDefault="00B32657">
            <w:pPr>
              <w:pStyle w:val="NormalWeb"/>
              <w:spacing w:before="0" w:beforeAutospacing="0" w:after="0" w:afterAutospacing="0"/>
              <w:jc w:val="center"/>
              <w:rPr>
                <w:rFonts w:ascii="Arial" w:hAnsi="Arial" w:cs="Arial"/>
                <w:sz w:val="18"/>
                <w:szCs w:val="18"/>
                <w:lang w:val="fr-FR"/>
              </w:rPr>
            </w:pPr>
            <w:r w:rsidRPr="00865FCE">
              <w:rPr>
                <w:rFonts w:ascii="Calibri" w:hAnsi="Calibri" w:cs="Arial"/>
                <w:b/>
                <w:bCs/>
                <w:color w:val="000000" w:themeColor="dark1"/>
                <w:kern w:val="24"/>
                <w:sz w:val="18"/>
                <w:szCs w:val="18"/>
                <w:lang w:val="fr-FR"/>
              </w:rPr>
              <w:t>16</w:t>
            </w:r>
            <w:r w:rsidR="002D7071" w:rsidRPr="00865FCE">
              <w:rPr>
                <w:rFonts w:ascii="Calibri" w:hAnsi="Calibri" w:cs="Arial"/>
                <w:b/>
                <w:bCs/>
                <w:color w:val="000000" w:themeColor="dark1"/>
                <w:kern w:val="24"/>
                <w:sz w:val="18"/>
                <w:szCs w:val="18"/>
                <w:lang w:val="fr-FR"/>
              </w:rPr>
              <w:t xml:space="preserve"> </w:t>
            </w:r>
            <w:r w:rsidRPr="00865FCE">
              <w:rPr>
                <w:rFonts w:ascii="Calibri" w:hAnsi="Calibri" w:cs="Arial"/>
                <w:b/>
                <w:bCs/>
                <w:color w:val="000000" w:themeColor="dark1"/>
                <w:kern w:val="24"/>
                <w:sz w:val="18"/>
                <w:szCs w:val="18"/>
                <w:lang w:val="fr-FR"/>
              </w:rPr>
              <w:t xml:space="preserve">800€ </w:t>
            </w:r>
            <w:r w:rsidR="002D7071" w:rsidRPr="00865FCE">
              <w:rPr>
                <w:rFonts w:ascii="Calibri" w:hAnsi="Calibri" w:cs="Arial"/>
                <w:b/>
                <w:bCs/>
                <w:color w:val="000000" w:themeColor="dark1"/>
                <w:kern w:val="24"/>
                <w:sz w:val="18"/>
                <w:szCs w:val="18"/>
                <w:lang w:val="fr-FR"/>
              </w:rPr>
              <w:t xml:space="preserve">pour </w:t>
            </w:r>
            <w:r w:rsidRPr="00865FCE">
              <w:rPr>
                <w:rFonts w:ascii="Calibri" w:hAnsi="Calibri" w:cs="Arial"/>
                <w:b/>
                <w:bCs/>
                <w:color w:val="000000" w:themeColor="dark1"/>
                <w:kern w:val="24"/>
                <w:sz w:val="18"/>
                <w:szCs w:val="18"/>
                <w:lang w:val="fr-FR"/>
              </w:rPr>
              <w:t>C1</w:t>
            </w:r>
          </w:p>
          <w:p w14:paraId="51AB87D6" w14:textId="77777777" w:rsidR="00B32657" w:rsidRPr="00865FCE" w:rsidRDefault="00B32657">
            <w:pPr>
              <w:pStyle w:val="NormalWeb"/>
              <w:spacing w:before="0" w:beforeAutospacing="0" w:after="0" w:afterAutospacing="0"/>
              <w:jc w:val="center"/>
              <w:rPr>
                <w:rFonts w:ascii="Arial" w:hAnsi="Arial" w:cs="Arial"/>
                <w:sz w:val="18"/>
                <w:szCs w:val="18"/>
                <w:lang w:val="fr-FR"/>
              </w:rPr>
            </w:pPr>
            <w:r w:rsidRPr="00865FCE">
              <w:rPr>
                <w:rFonts w:ascii="Calibri" w:hAnsi="Calibri" w:cs="Arial"/>
                <w:b/>
                <w:bCs/>
                <w:color w:val="000000" w:themeColor="dark1"/>
                <w:kern w:val="24"/>
                <w:sz w:val="18"/>
                <w:szCs w:val="18"/>
                <w:lang w:val="fr-FR"/>
              </w:rPr>
              <w:t>(SFGAS)</w:t>
            </w:r>
          </w:p>
        </w:tc>
        <w:tc>
          <w:tcPr>
            <w:tcW w:w="3208" w:type="dxa"/>
          </w:tcPr>
          <w:p w14:paraId="3C8702DF" w14:textId="69CAA095" w:rsidR="00B32657" w:rsidRPr="004500BB" w:rsidRDefault="002D7071" w:rsidP="002D7071">
            <w:pPr>
              <w:pStyle w:val="NormalWeb"/>
              <w:spacing w:before="0" w:beforeAutospacing="0" w:after="0" w:afterAutospacing="0"/>
              <w:jc w:val="center"/>
              <w:rPr>
                <w:rFonts w:ascii="Arial" w:hAnsi="Arial" w:cs="Arial"/>
                <w:sz w:val="18"/>
                <w:szCs w:val="18"/>
                <w:lang w:val="en-GB"/>
              </w:rPr>
            </w:pPr>
            <w:r>
              <w:rPr>
                <w:rFonts w:ascii="Calibri" w:hAnsi="Calibri" w:cs="Arial"/>
                <w:color w:val="000000" w:themeColor="dark1"/>
                <w:kern w:val="24"/>
                <w:sz w:val="18"/>
                <w:szCs w:val="18"/>
                <w:lang w:val="en-GB"/>
              </w:rPr>
              <w:t>3</w:t>
            </w:r>
            <w:r w:rsidR="003302EC" w:rsidRPr="004500BB">
              <w:rPr>
                <w:rFonts w:ascii="Calibri" w:hAnsi="Calibri" w:cs="Arial"/>
                <w:color w:val="000000" w:themeColor="dark1"/>
                <w:kern w:val="24"/>
                <w:sz w:val="18"/>
                <w:szCs w:val="18"/>
                <w:lang w:val="en-GB"/>
              </w:rPr>
              <w:t>0</w:t>
            </w:r>
            <w:r>
              <w:rPr>
                <w:rFonts w:ascii="Calibri" w:hAnsi="Calibri" w:cs="Arial"/>
                <w:color w:val="000000" w:themeColor="dark1"/>
                <w:kern w:val="24"/>
                <w:sz w:val="18"/>
                <w:szCs w:val="18"/>
                <w:lang w:val="en-GB"/>
              </w:rPr>
              <w:t xml:space="preserve"> </w:t>
            </w:r>
            <w:r w:rsidR="00B32657" w:rsidRPr="004500BB">
              <w:rPr>
                <w:rFonts w:ascii="Calibri" w:hAnsi="Calibri" w:cs="Arial"/>
                <w:color w:val="000000" w:themeColor="dark1"/>
                <w:kern w:val="24"/>
                <w:sz w:val="18"/>
                <w:szCs w:val="18"/>
                <w:lang w:val="en-GB"/>
              </w:rPr>
              <w:t>000€</w:t>
            </w:r>
          </w:p>
        </w:tc>
      </w:tr>
      <w:tr w:rsidR="00B32657" w:rsidRPr="004500BB" w14:paraId="532C859A" w14:textId="77777777" w:rsidTr="00D902DF">
        <w:tc>
          <w:tcPr>
            <w:tcW w:w="3207" w:type="dxa"/>
          </w:tcPr>
          <w:p w14:paraId="071EFEEF" w14:textId="3FCC6ED1" w:rsidR="00B32657" w:rsidRPr="004500BB" w:rsidRDefault="002D7071">
            <w:pPr>
              <w:pStyle w:val="NormalWeb"/>
              <w:spacing w:before="0" w:beforeAutospacing="0" w:after="0" w:afterAutospacing="0"/>
              <w:rPr>
                <w:rFonts w:ascii="Arial" w:hAnsi="Arial" w:cs="Arial"/>
                <w:sz w:val="18"/>
                <w:szCs w:val="18"/>
                <w:lang w:val="en-GB"/>
              </w:rPr>
            </w:pPr>
            <w:r>
              <w:rPr>
                <w:rFonts w:ascii="Calibri" w:hAnsi="Calibri" w:cs="Arial"/>
                <w:color w:val="000000" w:themeColor="dark1"/>
                <w:kern w:val="24"/>
                <w:sz w:val="18"/>
                <w:szCs w:val="18"/>
                <w:lang w:val="en-GB"/>
              </w:rPr>
              <w:t>Ciblage de la performance</w:t>
            </w:r>
          </w:p>
        </w:tc>
        <w:tc>
          <w:tcPr>
            <w:tcW w:w="3207" w:type="dxa"/>
          </w:tcPr>
          <w:p w14:paraId="4B26D5C3" w14:textId="6DA3DD39" w:rsidR="00B32657" w:rsidRPr="004500BB" w:rsidRDefault="002D7071" w:rsidP="002D7071">
            <w:pPr>
              <w:pStyle w:val="NormalWeb"/>
              <w:spacing w:before="0" w:beforeAutospacing="0" w:after="0" w:afterAutospacing="0"/>
              <w:jc w:val="center"/>
              <w:rPr>
                <w:rFonts w:ascii="Arial" w:hAnsi="Arial" w:cs="Arial"/>
                <w:sz w:val="18"/>
                <w:szCs w:val="18"/>
                <w:lang w:val="en-GB"/>
              </w:rPr>
            </w:pPr>
            <w:r>
              <w:rPr>
                <w:rFonts w:ascii="Calibri" w:hAnsi="Calibri" w:cs="Arial"/>
                <w:b/>
                <w:bCs/>
                <w:color w:val="000000" w:themeColor="dark1"/>
                <w:kern w:val="24"/>
                <w:sz w:val="18"/>
                <w:szCs w:val="18"/>
                <w:lang w:val="en-GB"/>
              </w:rPr>
              <w:t>Oui</w:t>
            </w:r>
          </w:p>
        </w:tc>
        <w:tc>
          <w:tcPr>
            <w:tcW w:w="3208" w:type="dxa"/>
          </w:tcPr>
          <w:p w14:paraId="2BE389DC" w14:textId="70C1D221" w:rsidR="00B32657" w:rsidRPr="004500BB" w:rsidRDefault="002D7071">
            <w:pPr>
              <w:pStyle w:val="NormalWeb"/>
              <w:spacing w:before="0" w:beforeAutospacing="0" w:after="0" w:afterAutospacing="0"/>
              <w:jc w:val="center"/>
              <w:rPr>
                <w:rFonts w:ascii="Arial" w:hAnsi="Arial" w:cs="Arial"/>
                <w:sz w:val="18"/>
                <w:szCs w:val="18"/>
                <w:lang w:val="en-GB"/>
              </w:rPr>
            </w:pPr>
            <w:r>
              <w:rPr>
                <w:rFonts w:ascii="Calibri" w:hAnsi="Calibri" w:cs="Arial"/>
                <w:color w:val="000000" w:themeColor="dark1"/>
                <w:kern w:val="24"/>
                <w:sz w:val="18"/>
                <w:szCs w:val="18"/>
                <w:lang w:val="en-GB"/>
              </w:rPr>
              <w:t>oui</w:t>
            </w:r>
          </w:p>
        </w:tc>
      </w:tr>
      <w:tr w:rsidR="00B32657" w:rsidRPr="004500BB" w14:paraId="0C633167" w14:textId="77777777" w:rsidTr="00D902DF">
        <w:tc>
          <w:tcPr>
            <w:tcW w:w="3207" w:type="dxa"/>
          </w:tcPr>
          <w:p w14:paraId="6E0E4620" w14:textId="19ABFBB2" w:rsidR="00B32657" w:rsidRPr="004500BB" w:rsidRDefault="002D7071" w:rsidP="00B32657">
            <w:pPr>
              <w:pStyle w:val="NormalWeb"/>
              <w:spacing w:before="0" w:beforeAutospacing="0" w:after="0" w:afterAutospacing="0"/>
              <w:rPr>
                <w:rFonts w:ascii="Arial" w:hAnsi="Arial" w:cs="Arial"/>
                <w:sz w:val="18"/>
                <w:szCs w:val="18"/>
                <w:lang w:val="en-GB"/>
              </w:rPr>
            </w:pPr>
            <w:r>
              <w:rPr>
                <w:rFonts w:ascii="Calibri" w:hAnsi="Calibri" w:cs="Arial"/>
                <w:i/>
                <w:iCs/>
                <w:color w:val="000000" w:themeColor="dark1"/>
                <w:kern w:val="24"/>
                <w:sz w:val="18"/>
                <w:szCs w:val="18"/>
                <w:lang w:val="en-GB"/>
              </w:rPr>
              <w:t>Taux de subvention équivalent</w:t>
            </w:r>
          </w:p>
        </w:tc>
        <w:tc>
          <w:tcPr>
            <w:tcW w:w="3207" w:type="dxa"/>
          </w:tcPr>
          <w:p w14:paraId="34A52A05" w14:textId="77777777" w:rsidR="00B32657" w:rsidRPr="004500BB" w:rsidRDefault="00B32657">
            <w:pPr>
              <w:pStyle w:val="NormalWeb"/>
              <w:spacing w:before="0" w:beforeAutospacing="0" w:after="0" w:afterAutospacing="0"/>
              <w:jc w:val="center"/>
              <w:rPr>
                <w:rFonts w:ascii="Arial" w:hAnsi="Arial" w:cs="Arial"/>
                <w:sz w:val="18"/>
                <w:szCs w:val="18"/>
                <w:lang w:val="en-GB"/>
              </w:rPr>
            </w:pPr>
            <w:r w:rsidRPr="004500BB">
              <w:rPr>
                <w:rFonts w:ascii="Calibri" w:hAnsi="Calibri" w:cs="Arial"/>
                <w:i/>
                <w:iCs/>
                <w:color w:val="000000" w:themeColor="dark1"/>
                <w:kern w:val="24"/>
                <w:sz w:val="18"/>
                <w:szCs w:val="18"/>
                <w:lang w:val="en-GB"/>
              </w:rPr>
              <w:t>9%</w:t>
            </w:r>
          </w:p>
        </w:tc>
        <w:tc>
          <w:tcPr>
            <w:tcW w:w="3208" w:type="dxa"/>
          </w:tcPr>
          <w:p w14:paraId="3F49C6FA" w14:textId="77777777" w:rsidR="00B32657" w:rsidRPr="004500BB" w:rsidRDefault="00B32657">
            <w:pPr>
              <w:pStyle w:val="NormalWeb"/>
              <w:spacing w:before="0" w:beforeAutospacing="0" w:after="0" w:afterAutospacing="0"/>
              <w:jc w:val="center"/>
              <w:rPr>
                <w:rFonts w:ascii="Arial" w:hAnsi="Arial" w:cs="Arial"/>
                <w:sz w:val="18"/>
                <w:szCs w:val="18"/>
                <w:lang w:val="en-GB"/>
              </w:rPr>
            </w:pPr>
            <w:r w:rsidRPr="004500BB">
              <w:rPr>
                <w:rFonts w:ascii="Calibri" w:hAnsi="Calibri" w:cs="Arial"/>
                <w:i/>
                <w:iCs/>
                <w:color w:val="000000" w:themeColor="dark1"/>
                <w:kern w:val="24"/>
                <w:sz w:val="18"/>
                <w:szCs w:val="18"/>
                <w:lang w:val="en-GB"/>
              </w:rPr>
              <w:t>23%</w:t>
            </w:r>
          </w:p>
        </w:tc>
      </w:tr>
    </w:tbl>
    <w:p w14:paraId="546AE1F5" w14:textId="467C60DA" w:rsidR="004672BE" w:rsidRPr="00362372" w:rsidRDefault="00362372" w:rsidP="004672BE">
      <w:pPr>
        <w:pStyle w:val="Titre3"/>
        <w:rPr>
          <w:lang w:val="fr-FR"/>
        </w:rPr>
      </w:pPr>
      <w:r w:rsidRPr="00362372">
        <w:rPr>
          <w:lang w:val="fr-FR"/>
        </w:rPr>
        <w:t>Crédit d’impôt pour la transition énergétique (CITE)</w:t>
      </w:r>
    </w:p>
    <w:p w14:paraId="64606987" w14:textId="74E31B45" w:rsidR="00362372" w:rsidRPr="00362372" w:rsidRDefault="00A57B6F" w:rsidP="00362372">
      <w:pPr>
        <w:rPr>
          <w:lang w:val="fr-FR"/>
        </w:rPr>
      </w:pPr>
      <w:r>
        <w:rPr>
          <w:lang w:val="fr-FR"/>
        </w:rPr>
        <w:t xml:space="preserve">Mis en œuvre en 2005, le </w:t>
      </w:r>
      <w:r w:rsidR="00CA3302">
        <w:rPr>
          <w:lang w:val="fr-FR"/>
        </w:rPr>
        <w:t>CITE</w:t>
      </w:r>
      <w:r>
        <w:rPr>
          <w:lang w:val="fr-FR"/>
        </w:rPr>
        <w:t xml:space="preserve"> </w:t>
      </w:r>
      <w:r w:rsidR="00362372" w:rsidRPr="00362372">
        <w:rPr>
          <w:lang w:val="fr-FR"/>
        </w:rPr>
        <w:t xml:space="preserve">accorde des </w:t>
      </w:r>
      <w:r>
        <w:rPr>
          <w:lang w:val="fr-FR"/>
        </w:rPr>
        <w:t xml:space="preserve">réductions </w:t>
      </w:r>
      <w:r w:rsidR="00362372" w:rsidRPr="00362372">
        <w:rPr>
          <w:lang w:val="fr-FR"/>
        </w:rPr>
        <w:t xml:space="preserve">d'impôt sur le revenu pour les investissements dans </w:t>
      </w:r>
      <w:r>
        <w:rPr>
          <w:lang w:val="fr-FR"/>
        </w:rPr>
        <w:t xml:space="preserve">la rénovation énergétique des logements </w:t>
      </w:r>
      <w:r w:rsidRPr="00362372">
        <w:rPr>
          <w:lang w:val="fr-FR"/>
        </w:rPr>
        <w:t xml:space="preserve">(Nauleau, </w:t>
      </w:r>
      <w:r w:rsidR="007D33CA" w:rsidRPr="00362372">
        <w:rPr>
          <w:lang w:val="fr-FR"/>
        </w:rPr>
        <w:t>201</w:t>
      </w:r>
      <w:r w:rsidR="007D33CA">
        <w:rPr>
          <w:lang w:val="fr-FR"/>
        </w:rPr>
        <w:t>4</w:t>
      </w:r>
      <w:r w:rsidRPr="00362372">
        <w:rPr>
          <w:lang w:val="fr-FR"/>
        </w:rPr>
        <w:t>)</w:t>
      </w:r>
      <w:r w:rsidR="00362372" w:rsidRPr="00362372">
        <w:rPr>
          <w:lang w:val="fr-FR"/>
        </w:rPr>
        <w:t xml:space="preserve">. </w:t>
      </w:r>
      <w:r>
        <w:rPr>
          <w:lang w:val="fr-FR"/>
        </w:rPr>
        <w:t xml:space="preserve">Dans son régime le plus récent, l’instrument </w:t>
      </w:r>
      <w:r w:rsidR="00362372" w:rsidRPr="00362372">
        <w:rPr>
          <w:lang w:val="fr-FR"/>
        </w:rPr>
        <w:t xml:space="preserve">prévoit un taux </w:t>
      </w:r>
      <w:r w:rsidR="00362372" w:rsidRPr="005E0E66">
        <w:rPr>
          <w:i/>
          <w:lang w:val="fr-FR"/>
        </w:rPr>
        <w:t>ad valorem</w:t>
      </w:r>
      <w:r w:rsidR="00362372" w:rsidRPr="00362372">
        <w:rPr>
          <w:lang w:val="fr-FR"/>
        </w:rPr>
        <w:t xml:space="preserve"> fixe de 3</w:t>
      </w:r>
      <w:r>
        <w:rPr>
          <w:lang w:val="fr-FR"/>
        </w:rPr>
        <w:t xml:space="preserve">0 %. L’éligibilité s’applique au coût de fourniture des équipements et est étendue aux </w:t>
      </w:r>
      <w:r w:rsidR="00362372" w:rsidRPr="00362372">
        <w:rPr>
          <w:lang w:val="fr-FR"/>
        </w:rPr>
        <w:t>coûts d</w:t>
      </w:r>
      <w:r>
        <w:rPr>
          <w:lang w:val="fr-FR"/>
        </w:rPr>
        <w:t>’</w:t>
      </w:r>
      <w:r w:rsidR="00362372" w:rsidRPr="00362372">
        <w:rPr>
          <w:lang w:val="fr-FR"/>
        </w:rPr>
        <w:t xml:space="preserve">installation </w:t>
      </w:r>
      <w:r>
        <w:rPr>
          <w:lang w:val="fr-FR"/>
        </w:rPr>
        <w:t xml:space="preserve">pour les </w:t>
      </w:r>
      <w:r w:rsidR="00362372" w:rsidRPr="00362372">
        <w:rPr>
          <w:lang w:val="fr-FR"/>
        </w:rPr>
        <w:t>mesures d'isolation.</w:t>
      </w:r>
    </w:p>
    <w:p w14:paraId="5D1DA08F" w14:textId="77777777" w:rsidR="003B2580" w:rsidRDefault="00927DC4" w:rsidP="003B2580">
      <w:pPr>
        <w:rPr>
          <w:lang w:val="fr-FR"/>
        </w:rPr>
      </w:pPr>
      <w:r>
        <w:rPr>
          <w:lang w:val="fr-FR"/>
        </w:rPr>
        <w:t>L’</w:t>
      </w:r>
      <w:r w:rsidR="00362372" w:rsidRPr="00362372">
        <w:rPr>
          <w:lang w:val="fr-FR"/>
        </w:rPr>
        <w:t xml:space="preserve">instrument </w:t>
      </w:r>
      <w:r>
        <w:rPr>
          <w:lang w:val="fr-FR"/>
        </w:rPr>
        <w:t xml:space="preserve">est modélisé ici </w:t>
      </w:r>
      <w:r w:rsidR="00362372" w:rsidRPr="00362372">
        <w:rPr>
          <w:lang w:val="fr-FR"/>
        </w:rPr>
        <w:t>comme une subvention de 17 % appliquée au coût total d'une mesure</w:t>
      </w:r>
      <w:r w:rsidR="00570CAC">
        <w:rPr>
          <w:lang w:val="fr-FR"/>
        </w:rPr>
        <w:t>. Cette valeur constitue une approximation dans le temps et l’espace du taux de 30% sur la fourniture qui prévaut actuellement : dans le temps, elle constitue une moyenne des taux qui n’ont cessé de varier entre 15% et 50%</w:t>
      </w:r>
      <w:r w:rsidR="00F70AC2">
        <w:rPr>
          <w:lang w:val="fr-FR"/>
        </w:rPr>
        <w:t xml:space="preserve"> au cours des années antérieures ; </w:t>
      </w:r>
      <w:r w:rsidR="00570CAC">
        <w:rPr>
          <w:lang w:val="fr-FR"/>
        </w:rPr>
        <w:t xml:space="preserve">dans l’espace, elle </w:t>
      </w:r>
      <w:r w:rsidR="00F70AC2">
        <w:rPr>
          <w:lang w:val="fr-FR"/>
        </w:rPr>
        <w:t xml:space="preserve">permet de tenir </w:t>
      </w:r>
      <w:r w:rsidR="00570CAC">
        <w:rPr>
          <w:lang w:val="fr-FR"/>
        </w:rPr>
        <w:t>compte du fait que les coûts qui figurent dans le modèle sont des coûts complets, incluant fourniture et pose</w:t>
      </w:r>
      <w:r w:rsidR="00F70AC2">
        <w:rPr>
          <w:lang w:val="fr-FR"/>
        </w:rPr>
        <w:t xml:space="preserve">, et ce pour tous les </w:t>
      </w:r>
      <w:r w:rsidR="00570CAC">
        <w:rPr>
          <w:lang w:val="fr-FR"/>
        </w:rPr>
        <w:t>équipements</w:t>
      </w:r>
      <w:r w:rsidR="00362372" w:rsidRPr="00362372">
        <w:rPr>
          <w:lang w:val="fr-FR"/>
        </w:rPr>
        <w:t xml:space="preserve">. </w:t>
      </w:r>
      <w:r w:rsidR="00F70AC2">
        <w:rPr>
          <w:lang w:val="fr-FR"/>
        </w:rPr>
        <w:t>La</w:t>
      </w:r>
      <w:r w:rsidR="00F70AC2" w:rsidRPr="00362372">
        <w:rPr>
          <w:lang w:val="fr-FR"/>
        </w:rPr>
        <w:t xml:space="preserve"> </w:t>
      </w:r>
      <w:r w:rsidR="00362372" w:rsidRPr="00362372">
        <w:rPr>
          <w:lang w:val="fr-FR"/>
        </w:rPr>
        <w:t xml:space="preserve">valeur </w:t>
      </w:r>
      <w:r w:rsidR="00F70AC2">
        <w:rPr>
          <w:lang w:val="fr-FR"/>
        </w:rPr>
        <w:t xml:space="preserve">de 17% est précisément calée sur le </w:t>
      </w:r>
      <w:r w:rsidR="00362372" w:rsidRPr="00362372">
        <w:rPr>
          <w:lang w:val="fr-FR"/>
        </w:rPr>
        <w:t xml:space="preserve">taux moyen </w:t>
      </w:r>
      <w:r w:rsidR="00F70AC2">
        <w:rPr>
          <w:lang w:val="fr-FR"/>
        </w:rPr>
        <w:t>de subvention déclaré par les ménages</w:t>
      </w:r>
      <w:r w:rsidR="00362372" w:rsidRPr="00362372">
        <w:rPr>
          <w:lang w:val="fr-FR"/>
        </w:rPr>
        <w:t xml:space="preserve"> (</w:t>
      </w:r>
      <w:r w:rsidR="001F2EE7">
        <w:rPr>
          <w:lang w:val="fr-FR"/>
        </w:rPr>
        <w:t>Ademe</w:t>
      </w:r>
      <w:r w:rsidR="00362372" w:rsidRPr="00362372">
        <w:rPr>
          <w:lang w:val="fr-FR"/>
        </w:rPr>
        <w:t>, 2016)</w:t>
      </w:r>
      <w:r w:rsidR="0051580C">
        <w:rPr>
          <w:lang w:val="fr-FR"/>
        </w:rPr>
        <w:t xml:space="preserve"> ; rapportée à l’investissement moyen de 10 192€, elle s’élève à </w:t>
      </w:r>
      <w:r w:rsidR="008069E2">
        <w:rPr>
          <w:lang w:val="fr-FR"/>
        </w:rPr>
        <w:t>1 733€</w:t>
      </w:r>
      <w:r w:rsidR="00362372" w:rsidRPr="00362372">
        <w:rPr>
          <w:lang w:val="fr-FR"/>
        </w:rPr>
        <w:t xml:space="preserve">. Dans le scénario de référence, le même taux </w:t>
      </w:r>
      <w:r w:rsidR="00F420A3">
        <w:rPr>
          <w:lang w:val="fr-FR"/>
        </w:rPr>
        <w:t xml:space="preserve">s’applique </w:t>
      </w:r>
      <w:r w:rsidR="00362372" w:rsidRPr="00362372">
        <w:rPr>
          <w:lang w:val="fr-FR"/>
        </w:rPr>
        <w:t xml:space="preserve">à toutes les mesures ; dans </w:t>
      </w:r>
      <w:r w:rsidR="00F420A3">
        <w:rPr>
          <w:lang w:val="fr-FR"/>
        </w:rPr>
        <w:t xml:space="preserve">la variante </w:t>
      </w:r>
      <w:r w:rsidR="00CA3302">
        <w:rPr>
          <w:lang w:val="fr-FR"/>
        </w:rPr>
        <w:t>CITE</w:t>
      </w:r>
      <w:r w:rsidR="00362372" w:rsidRPr="00362372">
        <w:rPr>
          <w:lang w:val="fr-FR"/>
        </w:rPr>
        <w:t xml:space="preserve">+, </w:t>
      </w:r>
      <w:r w:rsidR="00F420A3">
        <w:rPr>
          <w:lang w:val="fr-FR"/>
        </w:rPr>
        <w:t>le ciblage de l’</w:t>
      </w:r>
      <w:r w:rsidR="00CA3302">
        <w:rPr>
          <w:lang w:val="fr-FR"/>
        </w:rPr>
        <w:t>EPTZ</w:t>
      </w:r>
      <w:r w:rsidR="00362372" w:rsidRPr="00362372">
        <w:rPr>
          <w:lang w:val="fr-FR"/>
        </w:rPr>
        <w:t xml:space="preserve"> sur l</w:t>
      </w:r>
      <w:r w:rsidR="00F420A3">
        <w:rPr>
          <w:lang w:val="fr-FR"/>
        </w:rPr>
        <w:t>a haute performance s'applique</w:t>
      </w:r>
      <w:r w:rsidR="00362372" w:rsidRPr="00362372">
        <w:rPr>
          <w:lang w:val="fr-FR"/>
        </w:rPr>
        <w:t>.</w:t>
      </w:r>
    </w:p>
    <w:p w14:paraId="17FB8D5C" w14:textId="54A56C82" w:rsidR="004672BE" w:rsidRPr="005E0E66" w:rsidRDefault="00362372" w:rsidP="00CA4EE5">
      <w:pPr>
        <w:pStyle w:val="Titre3"/>
        <w:rPr>
          <w:lang w:val="fr-FR"/>
        </w:rPr>
      </w:pPr>
      <w:r w:rsidRPr="005E0E66">
        <w:rPr>
          <w:lang w:val="fr-FR"/>
        </w:rPr>
        <w:t>Certificats d’économies d’énergie</w:t>
      </w:r>
      <w:r w:rsidR="00663B1E" w:rsidRPr="005E0E66">
        <w:rPr>
          <w:lang w:val="fr-FR"/>
        </w:rPr>
        <w:t xml:space="preserve"> (</w:t>
      </w:r>
      <w:r w:rsidRPr="005E0E66">
        <w:rPr>
          <w:lang w:val="fr-FR"/>
        </w:rPr>
        <w:t>CEE</w:t>
      </w:r>
      <w:r w:rsidR="004672BE" w:rsidRPr="005E0E66">
        <w:rPr>
          <w:lang w:val="fr-FR"/>
        </w:rPr>
        <w:t>)</w:t>
      </w:r>
    </w:p>
    <w:p w14:paraId="7F1E551F" w14:textId="30CD6598" w:rsidR="00210CF5" w:rsidRDefault="00362372" w:rsidP="00362372">
      <w:pPr>
        <w:rPr>
          <w:lang w:val="fr-FR"/>
        </w:rPr>
      </w:pPr>
      <w:r w:rsidRPr="00362372">
        <w:rPr>
          <w:lang w:val="fr-FR"/>
        </w:rPr>
        <w:t xml:space="preserve">Les certificats </w:t>
      </w:r>
      <w:r w:rsidR="00210CF5">
        <w:rPr>
          <w:lang w:val="fr-FR"/>
        </w:rPr>
        <w:t xml:space="preserve">d’économies d’énergie ont été mis en œuvre </w:t>
      </w:r>
      <w:r w:rsidRPr="00362372">
        <w:rPr>
          <w:lang w:val="fr-FR"/>
        </w:rPr>
        <w:t xml:space="preserve">en France </w:t>
      </w:r>
      <w:r w:rsidR="00210CF5">
        <w:rPr>
          <w:lang w:val="fr-FR"/>
        </w:rPr>
        <w:t xml:space="preserve">en </w:t>
      </w:r>
      <w:r w:rsidRPr="00362372">
        <w:rPr>
          <w:lang w:val="fr-FR"/>
        </w:rPr>
        <w:t xml:space="preserve">2006 (Giraudet et Finon, 2015). Le </w:t>
      </w:r>
      <w:r w:rsidR="00210CF5">
        <w:rPr>
          <w:lang w:val="fr-FR"/>
        </w:rPr>
        <w:t xml:space="preserve">dispositif </w:t>
      </w:r>
      <w:r w:rsidRPr="00362372">
        <w:rPr>
          <w:lang w:val="fr-FR"/>
        </w:rPr>
        <w:t>impose aux fournisseurs d</w:t>
      </w:r>
      <w:r w:rsidR="00210CF5">
        <w:rPr>
          <w:lang w:val="fr-FR"/>
        </w:rPr>
        <w:t>’</w:t>
      </w:r>
      <w:r w:rsidRPr="00362372">
        <w:rPr>
          <w:lang w:val="fr-FR"/>
        </w:rPr>
        <w:t>énergie des obligations d</w:t>
      </w:r>
      <w:r w:rsidR="00210CF5">
        <w:rPr>
          <w:lang w:val="fr-FR"/>
        </w:rPr>
        <w:t>’</w:t>
      </w:r>
      <w:r w:rsidRPr="00362372">
        <w:rPr>
          <w:lang w:val="fr-FR"/>
        </w:rPr>
        <w:t>économies d'énergie, qu</w:t>
      </w:r>
      <w:r w:rsidR="00210CF5">
        <w:rPr>
          <w:lang w:val="fr-FR"/>
        </w:rPr>
        <w:t>’</w:t>
      </w:r>
      <w:r w:rsidRPr="00362372">
        <w:rPr>
          <w:lang w:val="fr-FR"/>
        </w:rPr>
        <w:t xml:space="preserve">ils peuvent </w:t>
      </w:r>
      <w:r w:rsidR="00210CF5">
        <w:rPr>
          <w:lang w:val="fr-FR"/>
        </w:rPr>
        <w:t xml:space="preserve">remplir en incitant leurs clients à prendre des </w:t>
      </w:r>
      <w:r w:rsidRPr="00362372">
        <w:rPr>
          <w:lang w:val="fr-FR"/>
        </w:rPr>
        <w:t xml:space="preserve">mesures </w:t>
      </w:r>
      <w:r w:rsidR="00210CF5">
        <w:rPr>
          <w:lang w:val="fr-FR"/>
        </w:rPr>
        <w:t>d’</w:t>
      </w:r>
      <w:r w:rsidRPr="00362372">
        <w:rPr>
          <w:lang w:val="fr-FR"/>
        </w:rPr>
        <w:t xml:space="preserve">efficacité énergétique </w:t>
      </w:r>
      <w:r w:rsidR="00210CF5">
        <w:rPr>
          <w:lang w:val="fr-FR"/>
        </w:rPr>
        <w:t xml:space="preserve">ou en </w:t>
      </w:r>
      <w:r w:rsidRPr="00362372">
        <w:rPr>
          <w:lang w:val="fr-FR"/>
        </w:rPr>
        <w:t xml:space="preserve">achetant des économies d'énergie </w:t>
      </w:r>
      <w:r w:rsidR="00210CF5">
        <w:rPr>
          <w:lang w:val="fr-FR"/>
        </w:rPr>
        <w:t>produites par d’autres fournisseurs obligés.</w:t>
      </w:r>
      <w:r w:rsidRPr="00362372">
        <w:rPr>
          <w:lang w:val="fr-FR"/>
        </w:rPr>
        <w:t xml:space="preserve"> Dans </w:t>
      </w:r>
      <w:r w:rsidR="00210CF5">
        <w:rPr>
          <w:lang w:val="fr-FR"/>
        </w:rPr>
        <w:t xml:space="preserve">tous les </w:t>
      </w:r>
      <w:r w:rsidRPr="00362372">
        <w:rPr>
          <w:lang w:val="fr-FR"/>
        </w:rPr>
        <w:t>cas, les économies d</w:t>
      </w:r>
      <w:r w:rsidR="00210CF5">
        <w:rPr>
          <w:lang w:val="fr-FR"/>
        </w:rPr>
        <w:t>’</w:t>
      </w:r>
      <w:r w:rsidRPr="00362372">
        <w:rPr>
          <w:lang w:val="fr-FR"/>
        </w:rPr>
        <w:t xml:space="preserve">énergie </w:t>
      </w:r>
      <w:r w:rsidR="00210CF5">
        <w:rPr>
          <w:lang w:val="fr-FR"/>
        </w:rPr>
        <w:t xml:space="preserve">réalisées sont </w:t>
      </w:r>
      <w:r w:rsidR="007B3199">
        <w:rPr>
          <w:lang w:val="fr-FR"/>
        </w:rPr>
        <w:t>certifiées</w:t>
      </w:r>
      <w:r w:rsidR="00210CF5">
        <w:rPr>
          <w:lang w:val="fr-FR"/>
        </w:rPr>
        <w:t xml:space="preserve"> sur </w:t>
      </w:r>
      <w:r w:rsidR="007B3199">
        <w:rPr>
          <w:lang w:val="fr-FR"/>
        </w:rPr>
        <w:t xml:space="preserve">la </w:t>
      </w:r>
      <w:r w:rsidR="00210CF5">
        <w:rPr>
          <w:lang w:val="fr-FR"/>
        </w:rPr>
        <w:t xml:space="preserve">base </w:t>
      </w:r>
      <w:r w:rsidR="007B3199">
        <w:rPr>
          <w:lang w:val="fr-FR"/>
        </w:rPr>
        <w:t xml:space="preserve">d’un montant </w:t>
      </w:r>
      <w:r w:rsidR="00210CF5">
        <w:rPr>
          <w:lang w:val="fr-FR"/>
        </w:rPr>
        <w:t xml:space="preserve">forfaitaire </w:t>
      </w:r>
      <w:r w:rsidR="00521971">
        <w:rPr>
          <w:lang w:val="fr-FR"/>
        </w:rPr>
        <w:t xml:space="preserve">en kWh dits « cumac » – cumulés </w:t>
      </w:r>
      <w:r w:rsidR="00210CF5">
        <w:rPr>
          <w:lang w:val="fr-FR"/>
        </w:rPr>
        <w:t>(sur une durée de vie m</w:t>
      </w:r>
      <w:r w:rsidR="007B3199">
        <w:rPr>
          <w:lang w:val="fr-FR"/>
        </w:rPr>
        <w:t>oyenne de 26 ans) et actualisé</w:t>
      </w:r>
      <w:r w:rsidR="00521971">
        <w:rPr>
          <w:lang w:val="fr-FR"/>
        </w:rPr>
        <w:t>s</w:t>
      </w:r>
      <w:r w:rsidR="00210CF5">
        <w:rPr>
          <w:lang w:val="fr-FR"/>
        </w:rPr>
        <w:t xml:space="preserve"> à 4%. </w:t>
      </w:r>
      <w:r w:rsidRPr="00362372">
        <w:rPr>
          <w:lang w:val="fr-FR"/>
        </w:rPr>
        <w:t xml:space="preserve">Les fournisseurs d'énergie peuvent, à des degrés divers selon </w:t>
      </w:r>
      <w:r w:rsidR="00210CF5">
        <w:rPr>
          <w:lang w:val="fr-FR"/>
        </w:rPr>
        <w:t xml:space="preserve">le marché sur lequel ils opèrent, répercuter le </w:t>
      </w:r>
      <w:r w:rsidRPr="00362372">
        <w:rPr>
          <w:lang w:val="fr-FR"/>
        </w:rPr>
        <w:t>coût</w:t>
      </w:r>
      <w:r w:rsidR="00210CF5">
        <w:rPr>
          <w:lang w:val="fr-FR"/>
        </w:rPr>
        <w:t xml:space="preserve"> de la contrainte dans leurs prix de vente d’énergie.</w:t>
      </w:r>
    </w:p>
    <w:p w14:paraId="2D79B279" w14:textId="67C9B62D" w:rsidR="00362372" w:rsidRPr="00362372" w:rsidRDefault="00210CF5" w:rsidP="00362372">
      <w:pPr>
        <w:rPr>
          <w:lang w:val="fr-FR"/>
        </w:rPr>
      </w:pPr>
      <w:r>
        <w:rPr>
          <w:lang w:val="fr-FR"/>
        </w:rPr>
        <w:t>Le programme couvre tou</w:t>
      </w:r>
      <w:r w:rsidR="00362372" w:rsidRPr="00362372">
        <w:rPr>
          <w:lang w:val="fr-FR"/>
        </w:rPr>
        <w:t xml:space="preserve">s les </w:t>
      </w:r>
      <w:r>
        <w:rPr>
          <w:lang w:val="fr-FR"/>
        </w:rPr>
        <w:t xml:space="preserve">usages finaux </w:t>
      </w:r>
      <w:r w:rsidR="00362372" w:rsidRPr="00362372">
        <w:rPr>
          <w:lang w:val="fr-FR"/>
        </w:rPr>
        <w:t>de l</w:t>
      </w:r>
      <w:r>
        <w:rPr>
          <w:lang w:val="fr-FR"/>
        </w:rPr>
        <w:t>’</w:t>
      </w:r>
      <w:r w:rsidR="00362372" w:rsidRPr="00362372">
        <w:rPr>
          <w:lang w:val="fr-FR"/>
        </w:rPr>
        <w:t xml:space="preserve">énergie </w:t>
      </w:r>
      <w:r>
        <w:rPr>
          <w:lang w:val="fr-FR"/>
        </w:rPr>
        <w:t>non soumis</w:t>
      </w:r>
      <w:r w:rsidR="00362372" w:rsidRPr="00362372">
        <w:rPr>
          <w:lang w:val="fr-FR"/>
        </w:rPr>
        <w:t xml:space="preserve"> au </w:t>
      </w:r>
      <w:r w:rsidR="00F27F4A">
        <w:rPr>
          <w:lang w:val="fr-FR"/>
        </w:rPr>
        <w:t>système communautaire d’échange des quotas d’émission (SCEQE)</w:t>
      </w:r>
      <w:r w:rsidR="009C7B03">
        <w:rPr>
          <w:lang w:val="fr-FR"/>
        </w:rPr>
        <w:t xml:space="preserve"> et prévoit une </w:t>
      </w:r>
      <w:r w:rsidR="00362372" w:rsidRPr="00362372">
        <w:rPr>
          <w:lang w:val="fr-FR"/>
        </w:rPr>
        <w:t xml:space="preserve">fongibilité </w:t>
      </w:r>
      <w:r w:rsidR="009C7B03">
        <w:rPr>
          <w:lang w:val="fr-FR"/>
        </w:rPr>
        <w:t xml:space="preserve">totale </w:t>
      </w:r>
      <w:r w:rsidR="00362372" w:rsidRPr="00362372">
        <w:rPr>
          <w:lang w:val="fr-FR"/>
        </w:rPr>
        <w:t>des économies d</w:t>
      </w:r>
      <w:r w:rsidR="009C7B03">
        <w:rPr>
          <w:lang w:val="fr-FR"/>
        </w:rPr>
        <w:t>’</w:t>
      </w:r>
      <w:r w:rsidR="00362372" w:rsidRPr="00362372">
        <w:rPr>
          <w:lang w:val="fr-FR"/>
        </w:rPr>
        <w:t xml:space="preserve">énergie entre secteurs. </w:t>
      </w:r>
      <w:r w:rsidR="001C4030">
        <w:rPr>
          <w:lang w:val="fr-FR"/>
        </w:rPr>
        <w:t xml:space="preserve">Un vendeur de carburant peut par </w:t>
      </w:r>
      <w:r w:rsidR="00362372" w:rsidRPr="00362372">
        <w:rPr>
          <w:lang w:val="fr-FR"/>
        </w:rPr>
        <w:t>exemple</w:t>
      </w:r>
      <w:r w:rsidR="001C4030">
        <w:rPr>
          <w:lang w:val="fr-FR"/>
        </w:rPr>
        <w:t xml:space="preserve"> remplir </w:t>
      </w:r>
      <w:r w:rsidR="00362372" w:rsidRPr="00362372">
        <w:rPr>
          <w:lang w:val="fr-FR"/>
        </w:rPr>
        <w:t xml:space="preserve">son obligation en </w:t>
      </w:r>
      <w:r w:rsidR="001C4030">
        <w:rPr>
          <w:lang w:val="fr-FR"/>
        </w:rPr>
        <w:t xml:space="preserve">encourageant des </w:t>
      </w:r>
      <w:r w:rsidR="00362372" w:rsidRPr="00362372">
        <w:rPr>
          <w:lang w:val="fr-FR"/>
        </w:rPr>
        <w:t>mesures d</w:t>
      </w:r>
      <w:r w:rsidR="001C4030">
        <w:rPr>
          <w:lang w:val="fr-FR"/>
        </w:rPr>
        <w:t>’</w:t>
      </w:r>
      <w:r w:rsidR="00362372" w:rsidRPr="00362372">
        <w:rPr>
          <w:lang w:val="fr-FR"/>
        </w:rPr>
        <w:t>économie d'énergie dans le secteur</w:t>
      </w:r>
      <w:r w:rsidR="001C4030">
        <w:rPr>
          <w:lang w:val="fr-FR"/>
        </w:rPr>
        <w:t xml:space="preserve"> du bâtiment, dont il répercutera</w:t>
      </w:r>
      <w:r w:rsidR="00362372" w:rsidRPr="00362372">
        <w:rPr>
          <w:lang w:val="fr-FR"/>
        </w:rPr>
        <w:t xml:space="preserve"> le coût </w:t>
      </w:r>
      <w:r w:rsidR="001C4030">
        <w:rPr>
          <w:lang w:val="fr-FR"/>
        </w:rPr>
        <w:t>en augmentant le prix du carburant</w:t>
      </w:r>
      <w:r w:rsidR="00362372" w:rsidRPr="00362372">
        <w:rPr>
          <w:lang w:val="fr-FR"/>
        </w:rPr>
        <w:t xml:space="preserve">. </w:t>
      </w:r>
      <w:r w:rsidR="001C4030">
        <w:rPr>
          <w:lang w:val="fr-FR"/>
        </w:rPr>
        <w:t>A l’échelle d’un secteur, il n’existe donc pas de contrainte qui égalise le coût de réalisation d’une obligation et les compensations prélevées sur les ventes d’énergie</w:t>
      </w:r>
      <w:r w:rsidR="00362372" w:rsidRPr="00362372">
        <w:rPr>
          <w:lang w:val="fr-FR"/>
        </w:rPr>
        <w:t>. De même, le marché d</w:t>
      </w:r>
      <w:r w:rsidR="007B3199">
        <w:rPr>
          <w:lang w:val="fr-FR"/>
        </w:rPr>
        <w:t>’</w:t>
      </w:r>
      <w:r w:rsidR="002369CE">
        <w:rPr>
          <w:lang w:val="fr-FR"/>
        </w:rPr>
        <w:t xml:space="preserve">échange de </w:t>
      </w:r>
      <w:r w:rsidR="00362372" w:rsidRPr="00362372">
        <w:rPr>
          <w:lang w:val="fr-FR"/>
        </w:rPr>
        <w:t xml:space="preserve">certificats </w:t>
      </w:r>
      <w:r w:rsidR="002369CE">
        <w:rPr>
          <w:lang w:val="fr-FR"/>
        </w:rPr>
        <w:t>d’économies d’énergie est alimenté par réalisations provenant de différents secteurs</w:t>
      </w:r>
      <w:r w:rsidR="00362372" w:rsidRPr="00362372">
        <w:rPr>
          <w:lang w:val="fr-FR"/>
        </w:rPr>
        <w:t xml:space="preserve">. En théorie, le prix du marché devrait refléter le coût marginal </w:t>
      </w:r>
      <w:r w:rsidR="00F33B9A">
        <w:rPr>
          <w:lang w:val="fr-FR"/>
        </w:rPr>
        <w:t xml:space="preserve">du secteur où les </w:t>
      </w:r>
      <w:r w:rsidR="00F33B9A">
        <w:rPr>
          <w:lang w:val="fr-FR"/>
        </w:rPr>
        <w:lastRenderedPageBreak/>
        <w:t>économies d’énergie sont les plus dures à réaliser. En</w:t>
      </w:r>
      <w:r w:rsidR="00362372" w:rsidRPr="00362372">
        <w:rPr>
          <w:lang w:val="fr-FR"/>
        </w:rPr>
        <w:t xml:space="preserve"> pratique, </w:t>
      </w:r>
      <w:r w:rsidR="00F33B9A">
        <w:rPr>
          <w:lang w:val="fr-FR"/>
        </w:rPr>
        <w:t xml:space="preserve">d’après les </w:t>
      </w:r>
      <w:r w:rsidR="00362372" w:rsidRPr="00362372">
        <w:rPr>
          <w:lang w:val="fr-FR"/>
        </w:rPr>
        <w:t>observateurs</w:t>
      </w:r>
      <w:r w:rsidR="00F33B9A">
        <w:rPr>
          <w:lang w:val="fr-FR"/>
        </w:rPr>
        <w:t xml:space="preserve"> du marché</w:t>
      </w:r>
      <w:r w:rsidR="00362372" w:rsidRPr="00362372">
        <w:rPr>
          <w:lang w:val="fr-FR"/>
        </w:rPr>
        <w:t xml:space="preserve">, le prix </w:t>
      </w:r>
      <w:r w:rsidR="008B7418">
        <w:rPr>
          <w:lang w:val="fr-FR"/>
        </w:rPr>
        <w:t xml:space="preserve">est </w:t>
      </w:r>
      <w:r w:rsidR="00362372" w:rsidRPr="00362372">
        <w:rPr>
          <w:lang w:val="fr-FR"/>
        </w:rPr>
        <w:t>plutôt déterminé par la spéculation sur les objectifs futurs</w:t>
      </w:r>
      <w:r w:rsidR="008B7418">
        <w:rPr>
          <w:lang w:val="fr-FR"/>
        </w:rPr>
        <w:t xml:space="preserve"> d’</w:t>
      </w:r>
      <w:r w:rsidR="00362372" w:rsidRPr="00362372">
        <w:rPr>
          <w:lang w:val="fr-FR"/>
        </w:rPr>
        <w:t>une part, et par la mise en réserve des économies d</w:t>
      </w:r>
      <w:r w:rsidR="008B7418">
        <w:rPr>
          <w:lang w:val="fr-FR"/>
        </w:rPr>
        <w:t>’</w:t>
      </w:r>
      <w:r w:rsidR="00362372" w:rsidRPr="00362372">
        <w:rPr>
          <w:lang w:val="fr-FR"/>
        </w:rPr>
        <w:t xml:space="preserve">énergie </w:t>
      </w:r>
      <w:r w:rsidR="008B7418">
        <w:rPr>
          <w:lang w:val="fr-FR"/>
        </w:rPr>
        <w:t xml:space="preserve">pour remplir ses obligations futures </w:t>
      </w:r>
      <w:r w:rsidR="004D437C">
        <w:rPr>
          <w:lang w:val="fr-FR"/>
        </w:rPr>
        <w:t>d'autre part. Les fluctuations de</w:t>
      </w:r>
      <w:r w:rsidR="00362372" w:rsidRPr="00362372">
        <w:rPr>
          <w:lang w:val="fr-FR"/>
        </w:rPr>
        <w:t xml:space="preserve"> court terme du marché sont donc vraisemblablement déconnectées du coût marginal des mesures d'économie d'énergie.</w:t>
      </w:r>
    </w:p>
    <w:p w14:paraId="2601E3C2" w14:textId="4DFA798E" w:rsidR="00362372" w:rsidRDefault="00362372" w:rsidP="00362372">
      <w:pPr>
        <w:rPr>
          <w:lang w:val="fr-FR"/>
        </w:rPr>
      </w:pPr>
      <w:r w:rsidRPr="00362372">
        <w:rPr>
          <w:lang w:val="fr-FR"/>
        </w:rPr>
        <w:t xml:space="preserve">Pour cette raison, </w:t>
      </w:r>
      <w:r w:rsidR="00CB4D05">
        <w:rPr>
          <w:lang w:val="fr-FR"/>
        </w:rPr>
        <w:t xml:space="preserve">modéliser </w:t>
      </w:r>
      <w:r w:rsidR="004D437C">
        <w:rPr>
          <w:lang w:val="fr-FR"/>
        </w:rPr>
        <w:t>de l’</w:t>
      </w:r>
      <w:r w:rsidR="009C25B2">
        <w:rPr>
          <w:lang w:val="fr-FR"/>
        </w:rPr>
        <w:t>impact de l’</w:t>
      </w:r>
      <w:r w:rsidRPr="00362372">
        <w:rPr>
          <w:lang w:val="fr-FR"/>
        </w:rPr>
        <w:t>instrument dans les bât</w:t>
      </w:r>
      <w:r w:rsidR="009C25B2">
        <w:rPr>
          <w:lang w:val="fr-FR"/>
        </w:rPr>
        <w:t>iments résidentiels nécessite d’</w:t>
      </w:r>
      <w:r w:rsidRPr="00362372">
        <w:rPr>
          <w:lang w:val="fr-FR"/>
        </w:rPr>
        <w:t xml:space="preserve">importantes simplifications. </w:t>
      </w:r>
      <w:r w:rsidR="004D437C">
        <w:rPr>
          <w:lang w:val="fr-FR"/>
        </w:rPr>
        <w:t>L’</w:t>
      </w:r>
      <w:r w:rsidRPr="00362372">
        <w:rPr>
          <w:lang w:val="fr-FR"/>
        </w:rPr>
        <w:t xml:space="preserve">instrument </w:t>
      </w:r>
      <w:r w:rsidR="004D437C">
        <w:rPr>
          <w:lang w:val="fr-FR"/>
        </w:rPr>
        <w:t xml:space="preserve">est modélisé ici </w:t>
      </w:r>
      <w:r w:rsidRPr="00362372">
        <w:rPr>
          <w:lang w:val="fr-FR"/>
        </w:rPr>
        <w:t>comme un mécanisme hybride</w:t>
      </w:r>
      <w:r w:rsidR="009C25B2">
        <w:rPr>
          <w:lang w:val="fr-FR"/>
        </w:rPr>
        <w:t xml:space="preserve"> </w:t>
      </w:r>
      <w:r w:rsidR="009C25B2" w:rsidRPr="00536D44">
        <w:rPr>
          <w:lang w:val="fr-FR"/>
        </w:rPr>
        <w:t>(Giraudet et Quirion, 2008)</w:t>
      </w:r>
      <w:r w:rsidR="00BA6C5C">
        <w:rPr>
          <w:lang w:val="fr-FR"/>
        </w:rPr>
        <w:t>, avec les composantes suivantes</w:t>
      </w:r>
      <w:r w:rsidRPr="00362372">
        <w:rPr>
          <w:lang w:val="fr-FR"/>
        </w:rPr>
        <w:t>:</w:t>
      </w:r>
    </w:p>
    <w:p w14:paraId="1E844684" w14:textId="0970A5A5" w:rsidR="00362372" w:rsidRPr="00362372" w:rsidRDefault="00CB4D05" w:rsidP="00362372">
      <w:pPr>
        <w:pStyle w:val="Paragraphedeliste"/>
        <w:numPr>
          <w:ilvl w:val="0"/>
          <w:numId w:val="16"/>
        </w:numPr>
        <w:rPr>
          <w:lang w:val="fr-FR"/>
        </w:rPr>
      </w:pPr>
      <w:r>
        <w:rPr>
          <w:lang w:val="fr-FR"/>
        </w:rPr>
        <w:t>S</w:t>
      </w:r>
      <w:r w:rsidR="00362372" w:rsidRPr="00362372">
        <w:rPr>
          <w:lang w:val="fr-FR"/>
        </w:rPr>
        <w:t xml:space="preserve">ubvention </w:t>
      </w:r>
      <w:r>
        <w:rPr>
          <w:lang w:val="fr-FR"/>
        </w:rPr>
        <w:t xml:space="preserve">à la rénovation énergétique, proportionnelle </w:t>
      </w:r>
      <w:r w:rsidR="00362372" w:rsidRPr="00362372">
        <w:rPr>
          <w:lang w:val="fr-FR"/>
        </w:rPr>
        <w:t xml:space="preserve">aux économies d'énergie générées par </w:t>
      </w:r>
      <w:r>
        <w:rPr>
          <w:lang w:val="fr-FR"/>
        </w:rPr>
        <w:t>le saut d’étiquette considéré</w:t>
      </w:r>
      <w:r w:rsidR="00362372" w:rsidRPr="00362372">
        <w:rPr>
          <w:lang w:val="fr-FR"/>
        </w:rPr>
        <w:t xml:space="preserve">, </w:t>
      </w:r>
      <w:r w:rsidR="00BF2FE7">
        <w:rPr>
          <w:lang w:val="fr-FR"/>
        </w:rPr>
        <w:t>actualisées</w:t>
      </w:r>
      <w:r w:rsidR="00BF2FE7" w:rsidRPr="00362372">
        <w:rPr>
          <w:lang w:val="fr-FR"/>
        </w:rPr>
        <w:t xml:space="preserve"> </w:t>
      </w:r>
      <w:r w:rsidR="00362372" w:rsidRPr="00362372">
        <w:rPr>
          <w:lang w:val="fr-FR"/>
        </w:rPr>
        <w:t>à 4 % sur 15 ans</w:t>
      </w:r>
      <w:r w:rsidR="00963B99">
        <w:rPr>
          <w:lang w:val="fr-FR"/>
        </w:rPr>
        <w:t>, considéré comme la durée de vie moyenne des opérations CEE</w:t>
      </w:r>
      <w:r w:rsidR="00362372" w:rsidRPr="00362372">
        <w:rPr>
          <w:lang w:val="fr-FR"/>
        </w:rPr>
        <w:t xml:space="preserve">. La proportionnalité </w:t>
      </w:r>
      <w:r w:rsidR="009476DE">
        <w:rPr>
          <w:lang w:val="fr-FR"/>
        </w:rPr>
        <w:t xml:space="preserve">de la subvention </w:t>
      </w:r>
      <w:r w:rsidR="00362372" w:rsidRPr="00362372">
        <w:rPr>
          <w:lang w:val="fr-FR"/>
        </w:rPr>
        <w:t xml:space="preserve">est donnée par le prix </w:t>
      </w:r>
      <w:r w:rsidR="00EF0789">
        <w:rPr>
          <w:lang w:val="fr-FR"/>
        </w:rPr>
        <w:t>des certificats d’économie d’énergie</w:t>
      </w:r>
      <w:r w:rsidR="00385DA1">
        <w:rPr>
          <w:lang w:val="fr-FR"/>
        </w:rPr>
        <w:t xml:space="preserve"> (en €/kWh cumac)</w:t>
      </w:r>
      <w:r w:rsidR="00EF0789">
        <w:rPr>
          <w:lang w:val="fr-FR"/>
        </w:rPr>
        <w:t>, qui fait l’ob</w:t>
      </w:r>
      <w:r w:rsidR="000B270F">
        <w:rPr>
          <w:lang w:val="fr-FR"/>
        </w:rPr>
        <w:t>j</w:t>
      </w:r>
      <w:r w:rsidR="00EF0789">
        <w:rPr>
          <w:lang w:val="fr-FR"/>
        </w:rPr>
        <w:t>et d’une scénarisation (cf. supra)</w:t>
      </w:r>
      <w:r w:rsidR="00362372" w:rsidRPr="00362372">
        <w:rPr>
          <w:lang w:val="fr-FR"/>
        </w:rPr>
        <w:t xml:space="preserve">. </w:t>
      </w:r>
    </w:p>
    <w:p w14:paraId="47A5C814" w14:textId="418F6D1A" w:rsidR="00362372" w:rsidRPr="00362372" w:rsidRDefault="00D65B10" w:rsidP="00362372">
      <w:pPr>
        <w:pStyle w:val="Paragraphedeliste"/>
        <w:numPr>
          <w:ilvl w:val="0"/>
          <w:numId w:val="16"/>
        </w:numPr>
        <w:rPr>
          <w:lang w:val="fr-FR"/>
        </w:rPr>
      </w:pPr>
      <w:r>
        <w:rPr>
          <w:lang w:val="fr-FR"/>
        </w:rPr>
        <w:t xml:space="preserve">Taxe sur l’énergie </w:t>
      </w:r>
      <w:r w:rsidR="00362372" w:rsidRPr="00362372">
        <w:rPr>
          <w:lang w:val="fr-FR"/>
        </w:rPr>
        <w:t>donnée par les coefficients d</w:t>
      </w:r>
      <w:r>
        <w:rPr>
          <w:lang w:val="fr-FR"/>
        </w:rPr>
        <w:t>’</w:t>
      </w:r>
      <w:r w:rsidR="00362372" w:rsidRPr="00362372">
        <w:rPr>
          <w:lang w:val="fr-FR"/>
        </w:rPr>
        <w:t xml:space="preserve">obligation </w:t>
      </w:r>
      <w:r>
        <w:rPr>
          <w:lang w:val="fr-FR"/>
        </w:rPr>
        <w:t xml:space="preserve">officiels </w:t>
      </w:r>
      <w:r w:rsidR="00362372" w:rsidRPr="00362372">
        <w:rPr>
          <w:lang w:val="fr-FR"/>
        </w:rPr>
        <w:t xml:space="preserve">(en kWh </w:t>
      </w:r>
      <w:r w:rsidRPr="00F74263">
        <w:rPr>
          <w:lang w:val="fr-FR"/>
        </w:rPr>
        <w:t>cumac</w:t>
      </w:r>
      <w:r>
        <w:rPr>
          <w:lang w:val="fr-FR"/>
        </w:rPr>
        <w:t xml:space="preserve"> à économiser</w:t>
      </w:r>
      <w:r w:rsidR="00362372" w:rsidRPr="00362372">
        <w:rPr>
          <w:lang w:val="fr-FR"/>
        </w:rPr>
        <w:t xml:space="preserve"> par kWh vendu</w:t>
      </w:r>
      <w:r w:rsidR="0029213F">
        <w:rPr>
          <w:lang w:val="fr-FR"/>
        </w:rPr>
        <w:t>, augmentant par hypothèse de 1%</w:t>
      </w:r>
      <w:r w:rsidR="00096169">
        <w:rPr>
          <w:lang w:val="fr-FR"/>
        </w:rPr>
        <w:t xml:space="preserve"> par </w:t>
      </w:r>
      <w:r w:rsidR="0029213F">
        <w:rPr>
          <w:lang w:val="fr-FR"/>
        </w:rPr>
        <w:t>an après 2020</w:t>
      </w:r>
      <w:r w:rsidR="00362372" w:rsidRPr="00362372">
        <w:rPr>
          <w:lang w:val="fr-FR"/>
        </w:rPr>
        <w:t xml:space="preserve">) multipliés par le prix des certificats </w:t>
      </w:r>
      <w:r>
        <w:rPr>
          <w:lang w:val="fr-FR"/>
        </w:rPr>
        <w:t>d’économies d’énergie</w:t>
      </w:r>
      <w:r w:rsidR="008564AE">
        <w:rPr>
          <w:lang w:val="fr-FR"/>
        </w:rPr>
        <w:t>, à quoi s’ajoute u</w:t>
      </w:r>
      <w:r w:rsidR="00362372" w:rsidRPr="008564AE">
        <w:rPr>
          <w:lang w:val="fr-FR"/>
        </w:rPr>
        <w:t>ne TVA de 20%.</w:t>
      </w:r>
    </w:p>
    <w:p w14:paraId="18E0FA5F" w14:textId="77777777" w:rsidR="00E12831" w:rsidRDefault="00362372" w:rsidP="00E12831">
      <w:pPr>
        <w:rPr>
          <w:lang w:val="fr-FR"/>
        </w:rPr>
      </w:pPr>
      <w:r w:rsidRPr="00362372">
        <w:rPr>
          <w:lang w:val="fr-FR"/>
        </w:rPr>
        <w:t>Le prix des certificats blancs est fixé à 4</w:t>
      </w:r>
      <w:r w:rsidR="009B3592">
        <w:rPr>
          <w:lang w:val="fr-FR"/>
        </w:rPr>
        <w:t xml:space="preserve"> </w:t>
      </w:r>
      <w:r w:rsidRPr="00362372">
        <w:rPr>
          <w:lang w:val="fr-FR"/>
        </w:rPr>
        <w:t>€</w:t>
      </w:r>
      <w:r w:rsidR="009B3592">
        <w:rPr>
          <w:lang w:val="fr-FR"/>
        </w:rPr>
        <w:t>/</w:t>
      </w:r>
      <w:r w:rsidRPr="00362372">
        <w:rPr>
          <w:lang w:val="fr-FR"/>
        </w:rPr>
        <w:t xml:space="preserve">MWh </w:t>
      </w:r>
      <w:r w:rsidR="009B3592">
        <w:rPr>
          <w:lang w:val="fr-FR"/>
        </w:rPr>
        <w:t>cumac</w:t>
      </w:r>
      <w:r w:rsidRPr="00362372">
        <w:rPr>
          <w:lang w:val="fr-FR"/>
        </w:rPr>
        <w:t xml:space="preserve"> de 2012 à 2015. Il diverge en 2016 </w:t>
      </w:r>
      <w:r w:rsidR="00700E83">
        <w:rPr>
          <w:lang w:val="fr-FR"/>
        </w:rPr>
        <w:t xml:space="preserve">dans </w:t>
      </w:r>
      <w:r w:rsidR="00CA3302">
        <w:rPr>
          <w:lang w:val="fr-FR"/>
        </w:rPr>
        <w:t xml:space="preserve">les deux </w:t>
      </w:r>
      <w:r w:rsidR="00700E83">
        <w:rPr>
          <w:lang w:val="fr-FR"/>
        </w:rPr>
        <w:t>variantes</w:t>
      </w:r>
      <w:r w:rsidR="00096169">
        <w:rPr>
          <w:lang w:val="fr-FR"/>
        </w:rPr>
        <w:t xml:space="preserve"> – </w:t>
      </w:r>
      <w:r w:rsidR="00700E83">
        <w:rPr>
          <w:lang w:val="fr-FR"/>
        </w:rPr>
        <w:t xml:space="preserve">5 </w:t>
      </w:r>
      <w:r w:rsidR="00CA3302">
        <w:rPr>
          <w:lang w:val="fr-FR"/>
        </w:rPr>
        <w:t>€ en CEE</w:t>
      </w:r>
      <w:r w:rsidRPr="00362372">
        <w:rPr>
          <w:lang w:val="fr-FR"/>
        </w:rPr>
        <w:t xml:space="preserve"> et 15€ </w:t>
      </w:r>
      <w:r w:rsidR="00CA3302">
        <w:rPr>
          <w:lang w:val="fr-FR"/>
        </w:rPr>
        <w:t>en CEE</w:t>
      </w:r>
      <w:r w:rsidRPr="00362372">
        <w:rPr>
          <w:lang w:val="fr-FR"/>
        </w:rPr>
        <w:t xml:space="preserve">+. </w:t>
      </w:r>
      <w:r w:rsidR="00700E83">
        <w:rPr>
          <w:lang w:val="fr-FR"/>
        </w:rPr>
        <w:t xml:space="preserve">Pour les </w:t>
      </w:r>
      <w:r w:rsidRPr="00362372">
        <w:rPr>
          <w:lang w:val="fr-FR"/>
        </w:rPr>
        <w:t>années suivantes</w:t>
      </w:r>
      <w:r w:rsidR="00700E83">
        <w:rPr>
          <w:lang w:val="fr-FR"/>
        </w:rPr>
        <w:t xml:space="preserve">, ces prix augmentent </w:t>
      </w:r>
      <w:r w:rsidRPr="00362372">
        <w:rPr>
          <w:lang w:val="fr-FR"/>
        </w:rPr>
        <w:t>à un taux annuel de 2% et est plafonné à 20 €</w:t>
      </w:r>
      <w:r w:rsidR="00700E83">
        <w:rPr>
          <w:lang w:val="fr-FR"/>
        </w:rPr>
        <w:t>/</w:t>
      </w:r>
      <w:r w:rsidRPr="00362372">
        <w:rPr>
          <w:lang w:val="fr-FR"/>
        </w:rPr>
        <w:t xml:space="preserve">MWh </w:t>
      </w:r>
      <w:r w:rsidR="00700E83">
        <w:rPr>
          <w:lang w:val="fr-FR"/>
        </w:rPr>
        <w:t>cumac</w:t>
      </w:r>
      <w:r w:rsidR="0037183E">
        <w:rPr>
          <w:rStyle w:val="Appelnotedebasdep"/>
          <w:lang w:val="fr-FR"/>
        </w:rPr>
        <w:footnoteReference w:id="6"/>
      </w:r>
      <w:r w:rsidR="008D602D">
        <w:rPr>
          <w:lang w:val="fr-FR"/>
        </w:rPr>
        <w:t xml:space="preserve">. A titre indicatif, le prix de </w:t>
      </w:r>
      <w:r w:rsidRPr="00362372">
        <w:rPr>
          <w:lang w:val="fr-FR"/>
        </w:rPr>
        <w:t>4 €</w:t>
      </w:r>
      <w:r w:rsidR="008D602D">
        <w:rPr>
          <w:lang w:val="fr-FR"/>
        </w:rPr>
        <w:t>/</w:t>
      </w:r>
      <w:r w:rsidRPr="00362372">
        <w:rPr>
          <w:lang w:val="fr-FR"/>
        </w:rPr>
        <w:t xml:space="preserve">MWh </w:t>
      </w:r>
      <w:r w:rsidR="008D602D">
        <w:rPr>
          <w:lang w:val="fr-FR"/>
        </w:rPr>
        <w:t xml:space="preserve">cumulé </w:t>
      </w:r>
      <w:r w:rsidRPr="00362372">
        <w:rPr>
          <w:lang w:val="fr-FR"/>
        </w:rPr>
        <w:t>sur 15 ans</w:t>
      </w:r>
      <w:r w:rsidR="008D602D">
        <w:rPr>
          <w:lang w:val="fr-FR"/>
        </w:rPr>
        <w:t xml:space="preserve"> et actualisé à 4% représente une subvention </w:t>
      </w:r>
      <w:r w:rsidR="008D602D" w:rsidRPr="005E0E66">
        <w:rPr>
          <w:i/>
          <w:lang w:val="fr-FR"/>
        </w:rPr>
        <w:t>ad valorem</w:t>
      </w:r>
      <w:r w:rsidR="008D602D">
        <w:rPr>
          <w:lang w:val="fr-FR"/>
        </w:rPr>
        <w:t xml:space="preserve"> au </w:t>
      </w:r>
      <w:r w:rsidR="008D602D" w:rsidRPr="00A3337F">
        <w:rPr>
          <w:lang w:val="fr-FR"/>
        </w:rPr>
        <w:t>barème décroissant (</w:t>
      </w:r>
      <w:r w:rsidR="000D6C07" w:rsidRPr="00A3337F">
        <w:rPr>
          <w:lang w:val="fr-FR"/>
        </w:rPr>
        <w:t>Tableau 7</w:t>
      </w:r>
      <w:r w:rsidR="008D602D" w:rsidRPr="00A3337F">
        <w:rPr>
          <w:lang w:val="fr-FR"/>
        </w:rPr>
        <w:t xml:space="preserve">), représentant en moyenne 5% des coûts de rénovation exposés au Tableau </w:t>
      </w:r>
      <w:r w:rsidR="000D6C07" w:rsidRPr="00A3337F">
        <w:rPr>
          <w:lang w:val="fr-FR"/>
        </w:rPr>
        <w:t>3</w:t>
      </w:r>
      <w:r w:rsidR="007319E1">
        <w:rPr>
          <w:lang w:val="fr-FR"/>
        </w:rPr>
        <w:t>, soit</w:t>
      </w:r>
      <w:r w:rsidR="00F70309">
        <w:rPr>
          <w:lang w:val="fr-FR"/>
        </w:rPr>
        <w:t xml:space="preserve"> 510€</w:t>
      </w:r>
      <w:r w:rsidR="007319E1">
        <w:rPr>
          <w:lang w:val="fr-FR"/>
        </w:rPr>
        <w:t xml:space="preserve"> pour un montant d’investissement moyen de 10 192€</w:t>
      </w:r>
      <w:r w:rsidR="00357144" w:rsidRPr="00A3337F">
        <w:rPr>
          <w:lang w:val="fr-FR"/>
        </w:rPr>
        <w:t>.</w:t>
      </w:r>
    </w:p>
    <w:p w14:paraId="026C3768" w14:textId="09F1CCC8" w:rsidR="00822FF5" w:rsidRPr="006D618B" w:rsidRDefault="00822FF5" w:rsidP="00395747">
      <w:pPr>
        <w:pStyle w:val="Lgende"/>
        <w:keepNext/>
        <w:rPr>
          <w:lang w:val="fr-FR"/>
        </w:rPr>
      </w:pPr>
      <w:r w:rsidRPr="006D618B">
        <w:rPr>
          <w:lang w:val="fr-FR"/>
        </w:rPr>
        <w:t>Table</w:t>
      </w:r>
      <w:r w:rsidR="006D618B" w:rsidRPr="006D618B">
        <w:rPr>
          <w:lang w:val="fr-FR"/>
        </w:rPr>
        <w:t>au</w:t>
      </w:r>
      <w:r w:rsidRPr="006D618B">
        <w:rPr>
          <w:lang w:val="fr-FR"/>
        </w:rPr>
        <w:t xml:space="preserve"> </w:t>
      </w:r>
      <w:r w:rsidR="005771E8" w:rsidRPr="004500BB">
        <w:rPr>
          <w:lang w:val="en-GB"/>
        </w:rPr>
        <w:fldChar w:fldCharType="begin"/>
      </w:r>
      <w:r w:rsidR="005771E8" w:rsidRPr="006D618B">
        <w:rPr>
          <w:lang w:val="fr-FR"/>
        </w:rPr>
        <w:instrText xml:space="preserve"> SEQ Table \* ARABIC </w:instrText>
      </w:r>
      <w:r w:rsidR="005771E8" w:rsidRPr="004500BB">
        <w:rPr>
          <w:lang w:val="en-GB"/>
        </w:rPr>
        <w:fldChar w:fldCharType="separate"/>
      </w:r>
      <w:r w:rsidR="00FB5040" w:rsidRPr="006D618B">
        <w:rPr>
          <w:noProof/>
          <w:lang w:val="fr-FR"/>
        </w:rPr>
        <w:t>7</w:t>
      </w:r>
      <w:r w:rsidR="005771E8" w:rsidRPr="004500BB">
        <w:rPr>
          <w:noProof/>
          <w:lang w:val="en-GB"/>
        </w:rPr>
        <w:fldChar w:fldCharType="end"/>
      </w:r>
      <w:r w:rsidRPr="006D618B">
        <w:rPr>
          <w:lang w:val="fr-FR"/>
        </w:rPr>
        <w:t xml:space="preserve">: </w:t>
      </w:r>
      <w:r w:rsidR="008D602D">
        <w:rPr>
          <w:lang w:val="fr-FR"/>
        </w:rPr>
        <w:t>Taux de subvention é</w:t>
      </w:r>
      <w:r w:rsidR="006D618B" w:rsidRPr="006D618B">
        <w:rPr>
          <w:lang w:val="fr-FR"/>
        </w:rPr>
        <w:t>quivalent pour les CEE (pour un prix de 4€/MWh cumac</w:t>
      </w:r>
      <w:r w:rsidR="00FF08C5">
        <w:rPr>
          <w:lang w:val="fr-FR"/>
        </w:rPr>
        <w:t xml:space="preserve">, appliqué </w:t>
      </w:r>
      <w:proofErr w:type="gramStart"/>
      <w:r w:rsidR="00FF08C5">
        <w:rPr>
          <w:lang w:val="fr-FR"/>
        </w:rPr>
        <w:t>au coûts</w:t>
      </w:r>
      <w:proofErr w:type="gramEnd"/>
      <w:r w:rsidR="00FF08C5">
        <w:rPr>
          <w:lang w:val="fr-FR"/>
        </w:rPr>
        <w:t xml:space="preserve"> du Tableau </w:t>
      </w:r>
      <w:r w:rsidR="00A3337F">
        <w:rPr>
          <w:lang w:val="fr-FR"/>
        </w:rPr>
        <w:t>3</w:t>
      </w:r>
      <w:r w:rsidR="006D618B" w:rsidRPr="006D618B">
        <w:rPr>
          <w:lang w:val="fr-FR"/>
        </w:rPr>
        <w:t>)</w:t>
      </w:r>
    </w:p>
    <w:tbl>
      <w:tblPr>
        <w:tblW w:w="5120" w:type="dxa"/>
        <w:tblCellMar>
          <w:left w:w="0" w:type="dxa"/>
          <w:right w:w="0" w:type="dxa"/>
        </w:tblCellMar>
        <w:tblLook w:val="0600" w:firstRow="0" w:lastRow="0" w:firstColumn="0" w:lastColumn="0" w:noHBand="1" w:noVBand="1"/>
      </w:tblPr>
      <w:tblGrid>
        <w:gridCol w:w="440"/>
        <w:gridCol w:w="720"/>
        <w:gridCol w:w="720"/>
        <w:gridCol w:w="840"/>
        <w:gridCol w:w="720"/>
        <w:gridCol w:w="840"/>
        <w:gridCol w:w="840"/>
      </w:tblGrid>
      <w:tr w:rsidR="00822FF5" w:rsidRPr="004500BB" w14:paraId="43D78B3B" w14:textId="77777777" w:rsidTr="005771E8">
        <w:trPr>
          <w:trHeight w:val="288"/>
        </w:trPr>
        <w:tc>
          <w:tcPr>
            <w:tcW w:w="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9639D8" w14:textId="77777777" w:rsidR="00822FF5" w:rsidRPr="006D618B" w:rsidRDefault="00822FF5" w:rsidP="00C912D0">
            <w:pPr>
              <w:keepNext/>
              <w:spacing w:after="0" w:line="288" w:lineRule="atLeast"/>
              <w:textAlignment w:val="bottom"/>
              <w:rPr>
                <w:rFonts w:ascii="Arial" w:eastAsia="Times New Roman" w:hAnsi="Arial" w:cs="Arial"/>
                <w:sz w:val="18"/>
                <w:szCs w:val="18"/>
                <w:lang w:val="fr-FR"/>
              </w:rPr>
            </w:pPr>
            <w:r w:rsidRPr="006D618B">
              <w:rPr>
                <w:rFonts w:ascii="Calibri" w:eastAsia="Times New Roman" w:hAnsi="Calibri" w:cs="Arial"/>
                <w:color w:val="000000" w:themeColor="dark1"/>
                <w:kern w:val="24"/>
                <w:sz w:val="18"/>
                <w:szCs w:val="18"/>
                <w:lang w:val="fr-FR"/>
              </w:rPr>
              <w:t> </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35DBA0"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F</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3776E2"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E</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D8B111"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D</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0DA17B"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C</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F8D064"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B</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5F4499"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A</w:t>
            </w:r>
          </w:p>
        </w:tc>
      </w:tr>
      <w:tr w:rsidR="00822FF5" w:rsidRPr="004500BB" w14:paraId="68165494" w14:textId="77777777" w:rsidTr="005771E8">
        <w:trPr>
          <w:trHeight w:val="288"/>
        </w:trPr>
        <w:tc>
          <w:tcPr>
            <w:tcW w:w="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05349E"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G</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C0779A"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eastAsia="Times New Roman" w:hAnsi="Calibri" w:cs="Arial"/>
                <w:color w:val="000000" w:themeColor="dark1"/>
                <w:kern w:val="24"/>
                <w:sz w:val="18"/>
                <w:szCs w:val="18"/>
                <w:lang w:val="en-GB"/>
              </w:rPr>
              <w:t>11%</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3B91F7F"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10%</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FA08BA"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8%</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2DAD3F"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7%</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15C3676"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6%</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A207E9"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5%</w:t>
            </w:r>
          </w:p>
        </w:tc>
      </w:tr>
      <w:tr w:rsidR="00822FF5" w:rsidRPr="004500BB" w14:paraId="324AC4E6" w14:textId="77777777" w:rsidTr="005771E8">
        <w:trPr>
          <w:trHeight w:val="288"/>
        </w:trPr>
        <w:tc>
          <w:tcPr>
            <w:tcW w:w="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B79C64"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F</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F76E04"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444014"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8%</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5B3B0D"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6%</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F517E5"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5%</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A2928C"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4%</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DCBCFB"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3%</w:t>
            </w:r>
          </w:p>
        </w:tc>
      </w:tr>
      <w:tr w:rsidR="00822FF5" w:rsidRPr="004500BB" w14:paraId="1C917209" w14:textId="77777777" w:rsidTr="005771E8">
        <w:trPr>
          <w:trHeight w:val="288"/>
        </w:trPr>
        <w:tc>
          <w:tcPr>
            <w:tcW w:w="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9706B9D"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E</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DD71D9"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658FF0"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4FB890"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5%</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684600"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4%</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9525818"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3%</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0A98B6"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2%</w:t>
            </w:r>
          </w:p>
        </w:tc>
      </w:tr>
      <w:tr w:rsidR="00822FF5" w:rsidRPr="004500BB" w14:paraId="65220F05" w14:textId="77777777" w:rsidTr="005771E8">
        <w:trPr>
          <w:trHeight w:val="288"/>
        </w:trPr>
        <w:tc>
          <w:tcPr>
            <w:tcW w:w="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D076AC"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D</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656F30"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6761F2"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257520"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0B4242"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3%</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BF9E4EC"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2%</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D010D1"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2%</w:t>
            </w:r>
          </w:p>
        </w:tc>
      </w:tr>
      <w:tr w:rsidR="00822FF5" w:rsidRPr="004500BB" w14:paraId="6D3E2CBB" w14:textId="77777777" w:rsidTr="005771E8">
        <w:trPr>
          <w:trHeight w:val="288"/>
        </w:trPr>
        <w:tc>
          <w:tcPr>
            <w:tcW w:w="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A71EA3"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C</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4F3BAA"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EB0CA8A"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56EB8C"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97246B"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5CC615"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2%</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327E9B9" w14:textId="77777777" w:rsidR="00822FF5" w:rsidRPr="004500BB" w:rsidRDefault="00822FF5" w:rsidP="00C912D0">
            <w:pPr>
              <w:keepNext/>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1%</w:t>
            </w:r>
          </w:p>
        </w:tc>
      </w:tr>
      <w:tr w:rsidR="00822FF5" w:rsidRPr="004500BB" w14:paraId="2DEB58A8" w14:textId="77777777" w:rsidTr="005771E8">
        <w:trPr>
          <w:trHeight w:val="288"/>
        </w:trPr>
        <w:tc>
          <w:tcPr>
            <w:tcW w:w="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46E990" w14:textId="77777777" w:rsidR="00822FF5" w:rsidRPr="004500BB" w:rsidRDefault="00822FF5" w:rsidP="005771E8">
            <w:pPr>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B</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7AF4E2" w14:textId="77777777" w:rsidR="00822FF5" w:rsidRPr="004500BB" w:rsidRDefault="00822FF5" w:rsidP="005771E8">
            <w:pPr>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114516" w14:textId="77777777" w:rsidR="00822FF5" w:rsidRPr="004500BB" w:rsidRDefault="00822FF5" w:rsidP="005771E8">
            <w:pPr>
              <w:spacing w:after="0" w:line="288" w:lineRule="atLeast"/>
              <w:jc w:val="center"/>
              <w:textAlignment w:val="bottom"/>
              <w:rPr>
                <w:rFonts w:ascii="Arial" w:eastAsia="Times New Roman" w:hAnsi="Arial" w:cs="Arial"/>
                <w:sz w:val="18"/>
                <w:szCs w:val="18"/>
                <w:lang w:val="en-GB"/>
              </w:rPr>
            </w:pP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9445AC" w14:textId="77777777" w:rsidR="00822FF5" w:rsidRPr="004500BB" w:rsidRDefault="00822FF5" w:rsidP="005771E8">
            <w:pPr>
              <w:spacing w:after="0" w:line="288" w:lineRule="atLeast"/>
              <w:jc w:val="center"/>
              <w:textAlignment w:val="bottom"/>
              <w:rPr>
                <w:rFonts w:ascii="Arial" w:eastAsia="Times New Roman" w:hAnsi="Arial" w:cs="Arial"/>
                <w:sz w:val="18"/>
                <w:szCs w:val="18"/>
                <w:lang w:val="en-GB"/>
              </w:rPr>
            </w:pP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418172" w14:textId="77777777" w:rsidR="00822FF5" w:rsidRPr="004500BB" w:rsidRDefault="00822FF5" w:rsidP="005771E8">
            <w:pPr>
              <w:spacing w:after="0" w:line="288" w:lineRule="atLeast"/>
              <w:jc w:val="center"/>
              <w:textAlignment w:val="bottom"/>
              <w:rPr>
                <w:rFonts w:ascii="Arial" w:eastAsia="Times New Roman" w:hAnsi="Arial" w:cs="Arial"/>
                <w:sz w:val="18"/>
                <w:szCs w:val="18"/>
                <w:lang w:val="en-GB"/>
              </w:rPr>
            </w:pP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0FC178" w14:textId="77777777" w:rsidR="00822FF5" w:rsidRPr="004500BB" w:rsidRDefault="00822FF5" w:rsidP="005771E8">
            <w:pPr>
              <w:spacing w:after="0" w:line="288" w:lineRule="atLeast"/>
              <w:jc w:val="center"/>
              <w:textAlignment w:val="bottom"/>
              <w:rPr>
                <w:rFonts w:ascii="Arial" w:eastAsia="Times New Roman" w:hAnsi="Arial" w:cs="Arial"/>
                <w:sz w:val="18"/>
                <w:szCs w:val="18"/>
                <w:lang w:val="en-GB"/>
              </w:rPr>
            </w:pP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7DBDE8" w14:textId="77777777" w:rsidR="00822FF5" w:rsidRPr="004500BB" w:rsidRDefault="00822FF5" w:rsidP="005771E8">
            <w:pPr>
              <w:spacing w:after="0" w:line="288" w:lineRule="atLeast"/>
              <w:jc w:val="center"/>
              <w:textAlignment w:val="bottom"/>
              <w:rPr>
                <w:rFonts w:ascii="Arial" w:eastAsia="Times New Roman" w:hAnsi="Arial" w:cs="Arial"/>
                <w:sz w:val="18"/>
                <w:szCs w:val="18"/>
                <w:lang w:val="en-GB"/>
              </w:rPr>
            </w:pPr>
            <w:r w:rsidRPr="004500BB">
              <w:rPr>
                <w:rFonts w:ascii="Calibri" w:eastAsia="Times New Roman" w:hAnsi="Calibri" w:cs="Arial"/>
                <w:color w:val="000000" w:themeColor="dark1"/>
                <w:kern w:val="24"/>
                <w:sz w:val="18"/>
                <w:szCs w:val="18"/>
                <w:lang w:val="en-GB"/>
              </w:rPr>
              <w:t>1%</w:t>
            </w:r>
          </w:p>
        </w:tc>
      </w:tr>
    </w:tbl>
    <w:p w14:paraId="38B4F162" w14:textId="368E0469" w:rsidR="004672BE" w:rsidRPr="00362372" w:rsidRDefault="00362372" w:rsidP="00CA4EE5">
      <w:pPr>
        <w:pStyle w:val="Titre3"/>
        <w:rPr>
          <w:lang w:val="fr-FR"/>
        </w:rPr>
      </w:pPr>
      <w:r w:rsidRPr="00362372">
        <w:rPr>
          <w:lang w:val="fr-FR"/>
        </w:rPr>
        <w:t>TVA à taux réduit</w:t>
      </w:r>
      <w:r w:rsidR="004672BE" w:rsidRPr="00362372">
        <w:rPr>
          <w:lang w:val="fr-FR"/>
        </w:rPr>
        <w:t xml:space="preserve"> (</w:t>
      </w:r>
      <w:r>
        <w:rPr>
          <w:lang w:val="fr-FR"/>
        </w:rPr>
        <w:t>TVAr</w:t>
      </w:r>
      <w:r w:rsidR="004672BE" w:rsidRPr="00362372">
        <w:rPr>
          <w:lang w:val="fr-FR"/>
        </w:rPr>
        <w:t>)</w:t>
      </w:r>
    </w:p>
    <w:p w14:paraId="493EF769" w14:textId="55D5106E" w:rsidR="00362372" w:rsidRPr="00362372" w:rsidRDefault="00362372" w:rsidP="006B25E9">
      <w:pPr>
        <w:rPr>
          <w:lang w:val="fr-FR"/>
        </w:rPr>
      </w:pPr>
      <w:r w:rsidRPr="00362372">
        <w:rPr>
          <w:lang w:val="fr-FR"/>
        </w:rPr>
        <w:t>Les mesures d</w:t>
      </w:r>
      <w:r w:rsidR="00FC3B4C">
        <w:rPr>
          <w:lang w:val="fr-FR"/>
        </w:rPr>
        <w:t xml:space="preserve">e rénovation sont soumises à une </w:t>
      </w:r>
      <w:r w:rsidRPr="00362372">
        <w:rPr>
          <w:lang w:val="fr-FR"/>
        </w:rPr>
        <w:t xml:space="preserve">TVA </w:t>
      </w:r>
      <w:r w:rsidR="00FC3B4C">
        <w:rPr>
          <w:lang w:val="fr-FR"/>
        </w:rPr>
        <w:t xml:space="preserve">réduite </w:t>
      </w:r>
      <w:r w:rsidRPr="00362372">
        <w:rPr>
          <w:lang w:val="fr-FR"/>
        </w:rPr>
        <w:t xml:space="preserve">de 5,5 %, au lieu du taux normal de 10 % qui s'applique dans le secteur du bâtiment. Cette hypothèse est </w:t>
      </w:r>
      <w:r w:rsidR="00FC3B4C">
        <w:rPr>
          <w:lang w:val="fr-FR"/>
        </w:rPr>
        <w:t xml:space="preserve">directement intégrée à la </w:t>
      </w:r>
      <w:r w:rsidRPr="00362372">
        <w:rPr>
          <w:lang w:val="fr-FR"/>
        </w:rPr>
        <w:t xml:space="preserve">matrice </w:t>
      </w:r>
      <w:r w:rsidR="00FC3B4C">
        <w:rPr>
          <w:lang w:val="fr-FR"/>
        </w:rPr>
        <w:t xml:space="preserve">de </w:t>
      </w:r>
      <w:r w:rsidRPr="00362372">
        <w:rPr>
          <w:lang w:val="fr-FR"/>
        </w:rPr>
        <w:t>coûts.</w:t>
      </w:r>
    </w:p>
    <w:p w14:paraId="75F9D8A4" w14:textId="218508CD" w:rsidR="00CA4EE5" w:rsidRPr="00362372" w:rsidRDefault="00362372" w:rsidP="00362372">
      <w:pPr>
        <w:pStyle w:val="Titre3"/>
        <w:rPr>
          <w:lang w:val="fr-FR"/>
        </w:rPr>
      </w:pPr>
      <w:r>
        <w:rPr>
          <w:lang w:val="fr-FR"/>
        </w:rPr>
        <w:lastRenderedPageBreak/>
        <w:t>Réglementation thermique (RT2020)</w:t>
      </w:r>
    </w:p>
    <w:p w14:paraId="0D7A0F07" w14:textId="167F99DE" w:rsidR="003167C9" w:rsidRPr="003167C9" w:rsidRDefault="003167C9" w:rsidP="00BC4EEE">
      <w:pPr>
        <w:rPr>
          <w:lang w:val="fr-FR"/>
        </w:rPr>
      </w:pPr>
      <w:r w:rsidRPr="003167C9">
        <w:rPr>
          <w:lang w:val="fr-FR"/>
        </w:rPr>
        <w:t xml:space="preserve">Le </w:t>
      </w:r>
      <w:r w:rsidR="001F20B5">
        <w:rPr>
          <w:lang w:val="fr-FR"/>
        </w:rPr>
        <w:t xml:space="preserve">scénario de référence du modèle intègre le </w:t>
      </w:r>
      <w:r w:rsidRPr="003167C9">
        <w:rPr>
          <w:lang w:val="fr-FR"/>
        </w:rPr>
        <w:t xml:space="preserve">niveau </w:t>
      </w:r>
      <w:r w:rsidR="0044593A">
        <w:rPr>
          <w:lang w:val="fr-FR"/>
        </w:rPr>
        <w:t xml:space="preserve">BBC </w:t>
      </w:r>
      <w:r w:rsidR="001F20B5">
        <w:rPr>
          <w:lang w:val="fr-FR"/>
        </w:rPr>
        <w:t xml:space="preserve">comme </w:t>
      </w:r>
      <w:r w:rsidR="0044593A">
        <w:rPr>
          <w:lang w:val="fr-FR"/>
        </w:rPr>
        <w:t xml:space="preserve">norme réglementaire </w:t>
      </w:r>
      <w:r w:rsidR="00547242">
        <w:rPr>
          <w:lang w:val="fr-FR"/>
        </w:rPr>
        <w:t xml:space="preserve">depuis 2012 et fixe cette norme au niveau BEPOS à partir de </w:t>
      </w:r>
      <w:r w:rsidRPr="003167C9">
        <w:rPr>
          <w:lang w:val="fr-FR"/>
        </w:rPr>
        <w:t>2020.</w:t>
      </w:r>
    </w:p>
    <w:p w14:paraId="48ECAD56" w14:textId="588880E4" w:rsidR="00231511" w:rsidRPr="003167C9" w:rsidRDefault="003167C9" w:rsidP="003167C9">
      <w:pPr>
        <w:pStyle w:val="Titre2"/>
        <w:rPr>
          <w:lang w:val="fr-FR"/>
        </w:rPr>
      </w:pPr>
      <w:r>
        <w:rPr>
          <w:lang w:val="fr-FR"/>
        </w:rPr>
        <w:t>Critères d’évaluation</w:t>
      </w:r>
    </w:p>
    <w:p w14:paraId="322B8E56" w14:textId="1D8BD5EC" w:rsidR="003167C9" w:rsidRDefault="003167C9" w:rsidP="003167C9">
      <w:pPr>
        <w:rPr>
          <w:lang w:val="fr-FR"/>
        </w:rPr>
      </w:pPr>
      <w:r w:rsidRPr="003167C9">
        <w:rPr>
          <w:lang w:val="fr-FR"/>
        </w:rPr>
        <w:t xml:space="preserve">Quatre scénarios clés sont </w:t>
      </w:r>
      <w:r w:rsidR="00ED04F2">
        <w:rPr>
          <w:lang w:val="fr-FR"/>
        </w:rPr>
        <w:t>simulés</w:t>
      </w:r>
      <w:r>
        <w:rPr>
          <w:lang w:val="fr-FR"/>
        </w:rPr>
        <w:t xml:space="preserve"> :</w:t>
      </w:r>
    </w:p>
    <w:p w14:paraId="5948FA02" w14:textId="5A532D6D" w:rsidR="003167C9" w:rsidRPr="003167C9" w:rsidRDefault="0031205C" w:rsidP="003167C9">
      <w:pPr>
        <w:pStyle w:val="Paragraphedeliste"/>
        <w:numPr>
          <w:ilvl w:val="0"/>
          <w:numId w:val="17"/>
        </w:numPr>
        <w:rPr>
          <w:lang w:val="fr-FR"/>
        </w:rPr>
      </w:pPr>
      <w:r>
        <w:rPr>
          <w:lang w:val="fr-FR"/>
        </w:rPr>
        <w:t xml:space="preserve">« Toutes politiques » (TP) : </w:t>
      </w:r>
      <w:r w:rsidR="003167C9" w:rsidRPr="003167C9">
        <w:rPr>
          <w:lang w:val="fr-FR"/>
        </w:rPr>
        <w:t xml:space="preserve">incorpore toutes les </w:t>
      </w:r>
      <w:r>
        <w:rPr>
          <w:lang w:val="fr-FR"/>
        </w:rPr>
        <w:t xml:space="preserve">politiques </w:t>
      </w:r>
      <w:r w:rsidR="003167C9" w:rsidRPr="003167C9">
        <w:rPr>
          <w:lang w:val="fr-FR"/>
        </w:rPr>
        <w:t>dans leur variante de référence. C</w:t>
      </w:r>
      <w:r>
        <w:rPr>
          <w:lang w:val="fr-FR"/>
        </w:rPr>
        <w:t>’</w:t>
      </w:r>
      <w:r w:rsidR="003167C9" w:rsidRPr="003167C9">
        <w:rPr>
          <w:lang w:val="fr-FR"/>
        </w:rPr>
        <w:t xml:space="preserve">est le scénario </w:t>
      </w:r>
      <w:r>
        <w:rPr>
          <w:lang w:val="fr-FR"/>
        </w:rPr>
        <w:t xml:space="preserve">sur lequel est calibré </w:t>
      </w:r>
      <w:r w:rsidR="003167C9" w:rsidRPr="003167C9">
        <w:rPr>
          <w:lang w:val="fr-FR"/>
        </w:rPr>
        <w:t>le modèle.</w:t>
      </w:r>
    </w:p>
    <w:p w14:paraId="5FAC1749" w14:textId="73625560" w:rsidR="003167C9" w:rsidRPr="003167C9" w:rsidRDefault="008C5A46" w:rsidP="003167C9">
      <w:pPr>
        <w:pStyle w:val="Paragraphedeliste"/>
        <w:numPr>
          <w:ilvl w:val="0"/>
          <w:numId w:val="17"/>
        </w:numPr>
        <w:rPr>
          <w:lang w:val="fr-FR"/>
        </w:rPr>
      </w:pPr>
      <w:r>
        <w:rPr>
          <w:lang w:val="fr-FR"/>
        </w:rPr>
        <w:t>TP</w:t>
      </w:r>
      <w:r w:rsidR="003167C9" w:rsidRPr="003167C9">
        <w:rPr>
          <w:lang w:val="fr-FR"/>
        </w:rPr>
        <w:t>+</w:t>
      </w:r>
      <w:r w:rsidR="00112C64">
        <w:rPr>
          <w:lang w:val="fr-FR"/>
        </w:rPr>
        <w:t xml:space="preserve"> : </w:t>
      </w:r>
      <w:r w:rsidR="003167C9" w:rsidRPr="003167C9">
        <w:rPr>
          <w:lang w:val="fr-FR"/>
        </w:rPr>
        <w:t>intègre toutes les poli</w:t>
      </w:r>
      <w:r w:rsidR="00F92F09">
        <w:rPr>
          <w:lang w:val="fr-FR"/>
        </w:rPr>
        <w:t>tique</w:t>
      </w:r>
      <w:r w:rsidR="003167C9" w:rsidRPr="003167C9">
        <w:rPr>
          <w:lang w:val="fr-FR"/>
        </w:rPr>
        <w:t>s dans leur variante</w:t>
      </w:r>
      <w:r w:rsidR="00D3768D">
        <w:rPr>
          <w:lang w:val="fr-FR"/>
        </w:rPr>
        <w:t xml:space="preserve"> « + »</w:t>
      </w:r>
      <w:r w:rsidR="003167C9" w:rsidRPr="003167C9">
        <w:rPr>
          <w:lang w:val="fr-FR"/>
        </w:rPr>
        <w:t>.</w:t>
      </w:r>
    </w:p>
    <w:p w14:paraId="68062F52" w14:textId="0089E8E9" w:rsidR="003167C9" w:rsidRPr="003167C9" w:rsidRDefault="00112C64" w:rsidP="003167C9">
      <w:pPr>
        <w:pStyle w:val="Paragraphedeliste"/>
        <w:numPr>
          <w:ilvl w:val="0"/>
          <w:numId w:val="17"/>
        </w:numPr>
        <w:rPr>
          <w:lang w:val="fr-FR"/>
        </w:rPr>
      </w:pPr>
      <w:r>
        <w:rPr>
          <w:lang w:val="fr-FR"/>
        </w:rPr>
        <w:t>« Zéro politique » (</w:t>
      </w:r>
      <w:r w:rsidR="003167C9" w:rsidRPr="003167C9">
        <w:rPr>
          <w:lang w:val="fr-FR"/>
        </w:rPr>
        <w:t>ZP</w:t>
      </w:r>
      <w:r>
        <w:rPr>
          <w:lang w:val="fr-FR"/>
        </w:rPr>
        <w:t xml:space="preserve">) : </w:t>
      </w:r>
      <w:r w:rsidR="003167C9" w:rsidRPr="003167C9">
        <w:rPr>
          <w:lang w:val="fr-FR"/>
        </w:rPr>
        <w:t>toutes les politiques sont supprimées.</w:t>
      </w:r>
    </w:p>
    <w:p w14:paraId="50525AE5" w14:textId="6F5B4632" w:rsidR="003167C9" w:rsidRPr="003167C9" w:rsidRDefault="00DE18A4" w:rsidP="003167C9">
      <w:pPr>
        <w:pStyle w:val="Paragraphedeliste"/>
        <w:numPr>
          <w:ilvl w:val="0"/>
          <w:numId w:val="17"/>
        </w:numPr>
        <w:rPr>
          <w:lang w:val="fr-FR"/>
        </w:rPr>
      </w:pPr>
      <w:r>
        <w:rPr>
          <w:lang w:val="fr-FR"/>
        </w:rPr>
        <w:t>« Toutes politiques, sans dilemme propriétaire-locataire » (</w:t>
      </w:r>
      <w:r w:rsidR="008C5A46">
        <w:rPr>
          <w:lang w:val="fr-FR"/>
        </w:rPr>
        <w:t>TP</w:t>
      </w:r>
      <w:r w:rsidR="003167C9" w:rsidRPr="003167C9">
        <w:rPr>
          <w:lang w:val="fr-FR"/>
        </w:rPr>
        <w:t>-</w:t>
      </w:r>
      <w:r w:rsidR="008C5A46">
        <w:rPr>
          <w:lang w:val="fr-FR"/>
        </w:rPr>
        <w:t>DPL</w:t>
      </w:r>
      <w:r>
        <w:rPr>
          <w:lang w:val="fr-FR"/>
        </w:rPr>
        <w:t>)</w:t>
      </w:r>
      <w:r w:rsidR="00D3768D">
        <w:rPr>
          <w:lang w:val="fr-FR"/>
        </w:rPr>
        <w:t> : l’horizon d’investissement des propriétaires bailleurs est aligné sur celui des propriétaires occupants</w:t>
      </w:r>
      <w:r w:rsidR="003167C9" w:rsidRPr="003167C9">
        <w:rPr>
          <w:lang w:val="fr-FR"/>
        </w:rPr>
        <w:t>.</w:t>
      </w:r>
    </w:p>
    <w:p w14:paraId="1A1AEC33" w14:textId="5B8DDFED" w:rsidR="00350F48" w:rsidRPr="003167C9" w:rsidRDefault="003167C9" w:rsidP="003167C9">
      <w:pPr>
        <w:rPr>
          <w:lang w:val="fr-FR"/>
        </w:rPr>
      </w:pPr>
      <w:r w:rsidRPr="003167C9">
        <w:rPr>
          <w:lang w:val="fr-FR"/>
        </w:rPr>
        <w:t xml:space="preserve">Les subventions </w:t>
      </w:r>
      <w:r w:rsidR="00DE18A4">
        <w:rPr>
          <w:lang w:val="fr-FR"/>
        </w:rPr>
        <w:t xml:space="preserve">sont toutes cumulables entre elles. </w:t>
      </w:r>
      <w:r w:rsidRPr="003167C9">
        <w:rPr>
          <w:lang w:val="fr-FR"/>
        </w:rPr>
        <w:t xml:space="preserve">Nous </w:t>
      </w:r>
      <w:r w:rsidR="00DE18A4">
        <w:rPr>
          <w:lang w:val="fr-FR"/>
        </w:rPr>
        <w:t xml:space="preserve">faisons en outre l’hypothèse forte qu’elles fonctionnent à plein régime, c’est-à-dire que </w:t>
      </w:r>
      <w:r w:rsidR="00787A5E">
        <w:rPr>
          <w:lang w:val="fr-FR"/>
        </w:rPr>
        <w:t>les ménages ont une connaissance parfaite des programmes d’aide et que</w:t>
      </w:r>
      <w:r w:rsidR="00EB7B6A">
        <w:rPr>
          <w:lang w:val="fr-FR"/>
        </w:rPr>
        <w:t>, par conséquent,</w:t>
      </w:r>
      <w:r w:rsidR="00787A5E">
        <w:rPr>
          <w:lang w:val="fr-FR"/>
        </w:rPr>
        <w:t xml:space="preserve"> </w:t>
      </w:r>
      <w:r w:rsidR="00DE18A4">
        <w:rPr>
          <w:lang w:val="fr-FR"/>
        </w:rPr>
        <w:t>toute mesure éligible va effectivement donner lieu à subvention.</w:t>
      </w:r>
      <w:r w:rsidR="00787A5E">
        <w:rPr>
          <w:lang w:val="fr-FR"/>
        </w:rPr>
        <w:t xml:space="preserve"> </w:t>
      </w:r>
    </w:p>
    <w:p w14:paraId="15E4197A" w14:textId="46E62F8B" w:rsidR="005E073A" w:rsidRPr="004500BB" w:rsidRDefault="003167C9" w:rsidP="005E073A">
      <w:pPr>
        <w:pStyle w:val="Titre3"/>
        <w:rPr>
          <w:lang w:val="en-GB"/>
        </w:rPr>
      </w:pPr>
      <w:r>
        <w:rPr>
          <w:lang w:val="en-GB"/>
        </w:rPr>
        <w:t>Choix d’une situation contrefactuelle</w:t>
      </w:r>
    </w:p>
    <w:p w14:paraId="6AB21298" w14:textId="1E722BCE" w:rsidR="00512C13" w:rsidRPr="003167C9" w:rsidRDefault="00DE18A4" w:rsidP="00703F6F">
      <w:pPr>
        <w:rPr>
          <w:lang w:val="fr-FR"/>
        </w:rPr>
      </w:pPr>
      <w:r>
        <w:rPr>
          <w:lang w:val="fr-FR"/>
        </w:rPr>
        <w:t>Chaque scénario combinant plusieurs politiques, une multitude de situation</w:t>
      </w:r>
      <w:r w:rsidR="00F25405">
        <w:rPr>
          <w:lang w:val="fr-FR"/>
        </w:rPr>
        <w:t>s</w:t>
      </w:r>
      <w:r>
        <w:rPr>
          <w:lang w:val="fr-FR"/>
        </w:rPr>
        <w:t xml:space="preserve"> contrefactuelles peuvent être envisagées pour estimer l’effet propre de chaque politique. </w:t>
      </w:r>
      <w:r w:rsidR="003167C9" w:rsidRPr="003167C9">
        <w:rPr>
          <w:lang w:val="fr-FR"/>
        </w:rPr>
        <w:t xml:space="preserve">Deux cas polaires </w:t>
      </w:r>
      <w:r w:rsidR="008D20E8">
        <w:rPr>
          <w:lang w:val="fr-FR"/>
        </w:rPr>
        <w:t xml:space="preserve">délimitent </w:t>
      </w:r>
      <w:r>
        <w:rPr>
          <w:lang w:val="fr-FR"/>
        </w:rPr>
        <w:t>l’effet d’</w:t>
      </w:r>
      <w:r w:rsidR="003167C9" w:rsidRPr="003167C9">
        <w:rPr>
          <w:lang w:val="fr-FR"/>
        </w:rPr>
        <w:t>un instrument donné. D</w:t>
      </w:r>
      <w:r>
        <w:rPr>
          <w:lang w:val="fr-FR"/>
        </w:rPr>
        <w:t>’</w:t>
      </w:r>
      <w:r w:rsidR="003167C9" w:rsidRPr="003167C9">
        <w:rPr>
          <w:lang w:val="fr-FR"/>
        </w:rPr>
        <w:t>une part, le scénario de référence qui inclut toutes les politiques (</w:t>
      </w:r>
      <w:r>
        <w:rPr>
          <w:lang w:val="fr-FR"/>
        </w:rPr>
        <w:t>TP</w:t>
      </w:r>
      <w:r w:rsidR="003167C9" w:rsidRPr="003167C9">
        <w:rPr>
          <w:lang w:val="fr-FR"/>
        </w:rPr>
        <w:t xml:space="preserve">) peut être comparé à un scénario qui inclut tous les instruments sauf un. Cette méthode, que nous </w:t>
      </w:r>
      <w:r>
        <w:rPr>
          <w:lang w:val="fr-FR"/>
        </w:rPr>
        <w:t>désignons par l’abréviation</w:t>
      </w:r>
      <w:r w:rsidR="003167C9" w:rsidRPr="003167C9">
        <w:rPr>
          <w:lang w:val="fr-FR"/>
        </w:rPr>
        <w:t xml:space="preserve"> </w:t>
      </w:r>
      <w:r>
        <w:rPr>
          <w:lang w:val="fr-FR"/>
        </w:rPr>
        <w:t>« </w:t>
      </w:r>
      <w:r w:rsidR="008C5A46">
        <w:rPr>
          <w:lang w:val="fr-FR"/>
        </w:rPr>
        <w:t>TP</w:t>
      </w:r>
      <w:r>
        <w:rPr>
          <w:lang w:val="fr-FR"/>
        </w:rPr>
        <w:t>-1 »</w:t>
      </w:r>
      <w:r w:rsidR="003167C9" w:rsidRPr="003167C9">
        <w:rPr>
          <w:lang w:val="fr-FR"/>
        </w:rPr>
        <w:t xml:space="preserve">, </w:t>
      </w:r>
      <w:r w:rsidR="00C006EF">
        <w:rPr>
          <w:lang w:val="fr-FR"/>
        </w:rPr>
        <w:t>permet d’évaluer</w:t>
      </w:r>
      <w:r w:rsidR="003167C9" w:rsidRPr="003167C9">
        <w:rPr>
          <w:lang w:val="fr-FR"/>
        </w:rPr>
        <w:t xml:space="preserve"> </w:t>
      </w:r>
      <w:r w:rsidR="00C006EF">
        <w:rPr>
          <w:lang w:val="fr-FR"/>
        </w:rPr>
        <w:t xml:space="preserve">l’effet d’un </w:t>
      </w:r>
      <w:r w:rsidR="003167C9" w:rsidRPr="003167C9">
        <w:rPr>
          <w:lang w:val="fr-FR"/>
        </w:rPr>
        <w:t xml:space="preserve">instrument </w:t>
      </w:r>
      <w:r w:rsidR="003167C9" w:rsidRPr="00C006EF">
        <w:rPr>
          <w:i/>
          <w:lang w:val="fr-FR"/>
        </w:rPr>
        <w:t>en interaction avec tous les autres instruments</w:t>
      </w:r>
      <w:r w:rsidR="00C006EF">
        <w:rPr>
          <w:lang w:val="fr-FR"/>
        </w:rPr>
        <w:t>. D’</w:t>
      </w:r>
      <w:r w:rsidR="003167C9" w:rsidRPr="003167C9">
        <w:rPr>
          <w:lang w:val="fr-FR"/>
        </w:rPr>
        <w:t xml:space="preserve">autre part, un scénario dans lequel toutes les politiques ont été supprimées (ZP) peut être comparé </w:t>
      </w:r>
      <w:r w:rsidR="00C006EF">
        <w:rPr>
          <w:lang w:val="fr-FR"/>
        </w:rPr>
        <w:t xml:space="preserve">à un scénario dans lequel une seule politique a été ajoutée. </w:t>
      </w:r>
      <w:r w:rsidR="003167C9" w:rsidRPr="003167C9">
        <w:rPr>
          <w:lang w:val="fr-FR"/>
        </w:rPr>
        <w:t xml:space="preserve">Cette méthode, que nous </w:t>
      </w:r>
      <w:r w:rsidR="00C006EF">
        <w:rPr>
          <w:lang w:val="fr-FR"/>
        </w:rPr>
        <w:t>désignons par l’abréviation « </w:t>
      </w:r>
      <w:r w:rsidR="003167C9" w:rsidRPr="003167C9">
        <w:rPr>
          <w:lang w:val="fr-FR"/>
        </w:rPr>
        <w:t>ZP+1</w:t>
      </w:r>
      <w:r w:rsidR="00C006EF">
        <w:rPr>
          <w:lang w:val="fr-FR"/>
        </w:rPr>
        <w:t> »</w:t>
      </w:r>
      <w:r w:rsidR="003167C9" w:rsidRPr="003167C9">
        <w:rPr>
          <w:lang w:val="fr-FR"/>
        </w:rPr>
        <w:t xml:space="preserve">, </w:t>
      </w:r>
      <w:r w:rsidR="00C006EF">
        <w:rPr>
          <w:lang w:val="fr-FR"/>
        </w:rPr>
        <w:t xml:space="preserve">permet d’évaluer l’effet </w:t>
      </w:r>
      <w:r w:rsidR="003167C9" w:rsidRPr="003167C9">
        <w:rPr>
          <w:lang w:val="fr-FR"/>
        </w:rPr>
        <w:t xml:space="preserve">pur de l'instrument, </w:t>
      </w:r>
      <w:r w:rsidR="00C006EF" w:rsidRPr="00C006EF">
        <w:rPr>
          <w:i/>
          <w:lang w:val="fr-FR"/>
        </w:rPr>
        <w:t>indépendamment des autres</w:t>
      </w:r>
      <w:r w:rsidR="003167C9" w:rsidRPr="00C006EF">
        <w:rPr>
          <w:i/>
          <w:lang w:val="fr-FR"/>
        </w:rPr>
        <w:t xml:space="preserve"> instruments</w:t>
      </w:r>
      <w:r w:rsidR="003167C9" w:rsidRPr="003167C9">
        <w:rPr>
          <w:lang w:val="fr-FR"/>
        </w:rPr>
        <w:t xml:space="preserve">. </w:t>
      </w:r>
      <w:r w:rsidR="007F26CC">
        <w:rPr>
          <w:lang w:val="fr-FR"/>
        </w:rPr>
        <w:t xml:space="preserve">A partir de ces deux cas polaires, une multitude de comparaisons peuvent être faites entre un </w:t>
      </w:r>
      <w:r w:rsidR="007F26CC" w:rsidRPr="007F26CC">
        <w:rPr>
          <w:lang w:val="fr-FR"/>
        </w:rPr>
        <w:t xml:space="preserve">scénario </w:t>
      </w:r>
      <w:r w:rsidR="008C5A46" w:rsidRPr="007F26CC">
        <w:rPr>
          <w:lang w:val="fr-FR"/>
        </w:rPr>
        <w:t>TP</w:t>
      </w:r>
      <w:r w:rsidR="003167C9" w:rsidRPr="007F26CC">
        <w:rPr>
          <w:lang w:val="fr-FR"/>
        </w:rPr>
        <w:t>-</w:t>
      </w:r>
      <w:r w:rsidR="003167C9" w:rsidRPr="005E0E66">
        <w:rPr>
          <w:i/>
          <w:lang w:val="fr-FR"/>
        </w:rPr>
        <w:t>k</w:t>
      </w:r>
      <w:r w:rsidR="003167C9" w:rsidRPr="007F26CC">
        <w:rPr>
          <w:lang w:val="fr-FR"/>
        </w:rPr>
        <w:t xml:space="preserve"> et </w:t>
      </w:r>
      <w:r w:rsidR="007F26CC" w:rsidRPr="007F26CC">
        <w:rPr>
          <w:lang w:val="fr-FR"/>
        </w:rPr>
        <w:t xml:space="preserve">un scénario </w:t>
      </w:r>
      <w:r w:rsidR="008C5A46" w:rsidRPr="007F26CC">
        <w:rPr>
          <w:lang w:val="fr-FR"/>
        </w:rPr>
        <w:t>TP</w:t>
      </w:r>
      <w:r w:rsidR="003167C9" w:rsidRPr="007F26CC">
        <w:rPr>
          <w:lang w:val="fr-FR"/>
        </w:rPr>
        <w:t>-(</w:t>
      </w:r>
      <w:r w:rsidR="003167C9" w:rsidRPr="005E0E66">
        <w:rPr>
          <w:i/>
          <w:lang w:val="fr-FR"/>
        </w:rPr>
        <w:t>k+1</w:t>
      </w:r>
      <w:r w:rsidR="003167C9" w:rsidRPr="007F26CC">
        <w:rPr>
          <w:lang w:val="fr-FR"/>
        </w:rPr>
        <w:t>) (ou, de manière équivalente, entre ZP+</w:t>
      </w:r>
      <w:r w:rsidR="003167C9" w:rsidRPr="005E0E66">
        <w:rPr>
          <w:i/>
          <w:lang w:val="fr-FR"/>
        </w:rPr>
        <w:t>k</w:t>
      </w:r>
      <w:r w:rsidR="003167C9" w:rsidRPr="007F26CC">
        <w:rPr>
          <w:lang w:val="fr-FR"/>
        </w:rPr>
        <w:t xml:space="preserve"> et ZP+</w:t>
      </w:r>
      <w:r w:rsidR="003167C9" w:rsidRPr="005E0E66">
        <w:rPr>
          <w:i/>
          <w:lang w:val="fr-FR"/>
        </w:rPr>
        <w:t>k+1</w:t>
      </w:r>
      <w:r w:rsidR="003167C9" w:rsidRPr="007F26CC">
        <w:rPr>
          <w:lang w:val="fr-FR"/>
        </w:rPr>
        <w:t>)</w:t>
      </w:r>
      <w:r w:rsidR="007F26CC" w:rsidRPr="007F26CC">
        <w:rPr>
          <w:lang w:val="fr-FR"/>
        </w:rPr>
        <w:t xml:space="preserve"> pour quantifier l’</w:t>
      </w:r>
      <w:r w:rsidR="003167C9" w:rsidRPr="007F26CC">
        <w:rPr>
          <w:lang w:val="fr-FR"/>
        </w:rPr>
        <w:t>interaction du (</w:t>
      </w:r>
      <w:r w:rsidR="003167C9" w:rsidRPr="005E0E66">
        <w:rPr>
          <w:i/>
          <w:lang w:val="fr-FR"/>
        </w:rPr>
        <w:t>k+1</w:t>
      </w:r>
      <w:r w:rsidR="003167C9" w:rsidRPr="007F26CC">
        <w:rPr>
          <w:lang w:val="fr-FR"/>
        </w:rPr>
        <w:t xml:space="preserve">)-ième instrument avec </w:t>
      </w:r>
      <w:r w:rsidR="003167C9" w:rsidRPr="005E0E66">
        <w:rPr>
          <w:i/>
          <w:lang w:val="fr-FR"/>
        </w:rPr>
        <w:t>k</w:t>
      </w:r>
      <w:r w:rsidR="003167C9" w:rsidRPr="007F26CC">
        <w:rPr>
          <w:lang w:val="fr-FR"/>
        </w:rPr>
        <w:t xml:space="preserve"> autres. En considérant toutes les combinaisons possibles, 64 scénarios peuvent être exécutés (</w:t>
      </w:r>
      <w:r w:rsidR="007F26CC" w:rsidRPr="007F26CC">
        <w:rPr>
          <w:lang w:val="fr-FR"/>
        </w:rPr>
        <w:t xml:space="preserve">en incluant </w:t>
      </w:r>
      <w:r w:rsidR="008C5A46" w:rsidRPr="007F26CC">
        <w:rPr>
          <w:lang w:val="fr-FR"/>
        </w:rPr>
        <w:t>TP</w:t>
      </w:r>
      <w:r w:rsidR="003167C9" w:rsidRPr="007F26CC">
        <w:rPr>
          <w:lang w:val="fr-FR"/>
        </w:rPr>
        <w:t xml:space="preserve"> et ZP) et </w:t>
      </w:r>
      <w:r w:rsidR="007F26CC" w:rsidRPr="007F26CC">
        <w:rPr>
          <w:lang w:val="fr-FR"/>
        </w:rPr>
        <w:t>l’</w:t>
      </w:r>
      <w:r w:rsidR="003167C9" w:rsidRPr="007F26CC">
        <w:rPr>
          <w:lang w:val="fr-FR"/>
        </w:rPr>
        <w:t>impact de chaque instrument peut être évalué de 32 manières différentes.</w:t>
      </w:r>
    </w:p>
    <w:p w14:paraId="4C8030AD" w14:textId="15BD42CF" w:rsidR="005E073A" w:rsidRPr="004500BB" w:rsidRDefault="003167C9" w:rsidP="005E073A">
      <w:pPr>
        <w:pStyle w:val="Titre3"/>
        <w:rPr>
          <w:lang w:val="en-GB"/>
        </w:rPr>
      </w:pPr>
      <w:r>
        <w:rPr>
          <w:lang w:val="en-GB"/>
        </w:rPr>
        <w:t>Coût-efficacité</w:t>
      </w:r>
    </w:p>
    <w:p w14:paraId="6CD8466B" w14:textId="590212F1" w:rsidR="00E436DF" w:rsidRPr="003167C9" w:rsidRDefault="00393D73" w:rsidP="00AC70EC">
      <w:pPr>
        <w:rPr>
          <w:lang w:val="fr-FR"/>
        </w:rPr>
      </w:pPr>
      <w:r>
        <w:rPr>
          <w:lang w:val="fr-FR"/>
        </w:rPr>
        <w:t>L’indicateur de</w:t>
      </w:r>
      <w:r w:rsidR="003167C9" w:rsidRPr="003167C9">
        <w:rPr>
          <w:lang w:val="fr-FR"/>
        </w:rPr>
        <w:t xml:space="preserve"> coût-efficacité </w:t>
      </w:r>
      <w:r>
        <w:rPr>
          <w:lang w:val="fr-FR"/>
        </w:rPr>
        <w:t>est une première mesure de l’efficience d’un</w:t>
      </w:r>
      <w:r w:rsidR="003167C9" w:rsidRPr="003167C9">
        <w:rPr>
          <w:lang w:val="fr-FR"/>
        </w:rPr>
        <w:t xml:space="preserve"> instrument</w:t>
      </w:r>
      <w:r>
        <w:rPr>
          <w:lang w:val="fr-FR"/>
        </w:rPr>
        <w:t xml:space="preserve">. Il est calculé, pour une année donnée, </w:t>
      </w:r>
      <w:r w:rsidR="003167C9" w:rsidRPr="003167C9">
        <w:rPr>
          <w:lang w:val="fr-FR"/>
        </w:rPr>
        <w:t xml:space="preserve">comme le rapport entre le coût pertinent de l'instrument </w:t>
      </w:r>
      <w:r>
        <w:rPr>
          <w:lang w:val="fr-FR"/>
        </w:rPr>
        <w:t xml:space="preserve">– dépense publique de subventions ou recette fiscale de taxe </w:t>
      </w:r>
      <w:r w:rsidR="003167C9" w:rsidRPr="003167C9">
        <w:rPr>
          <w:lang w:val="fr-FR"/>
        </w:rPr>
        <w:t>cette année-là</w:t>
      </w:r>
      <w:r w:rsidR="00543CCA">
        <w:rPr>
          <w:lang w:val="fr-FR"/>
        </w:rPr>
        <w:t xml:space="preserve"> – et </w:t>
      </w:r>
      <w:r w:rsidR="003167C9" w:rsidRPr="003167C9">
        <w:rPr>
          <w:lang w:val="fr-FR"/>
        </w:rPr>
        <w:t>les économies d</w:t>
      </w:r>
      <w:r>
        <w:rPr>
          <w:lang w:val="fr-FR"/>
        </w:rPr>
        <w:t>’</w:t>
      </w:r>
      <w:r w:rsidR="003167C9" w:rsidRPr="003167C9">
        <w:rPr>
          <w:lang w:val="fr-FR"/>
        </w:rPr>
        <w:t xml:space="preserve">énergie </w:t>
      </w:r>
      <w:r>
        <w:rPr>
          <w:lang w:val="fr-FR"/>
        </w:rPr>
        <w:t>générées</w:t>
      </w:r>
      <w:r w:rsidR="003167C9" w:rsidRPr="003167C9">
        <w:rPr>
          <w:lang w:val="fr-FR"/>
        </w:rPr>
        <w:t>, évaluées en comparant un scénario avec l</w:t>
      </w:r>
      <w:r w:rsidR="00725BBA">
        <w:rPr>
          <w:lang w:val="fr-FR"/>
        </w:rPr>
        <w:t>’</w:t>
      </w:r>
      <w:r w:rsidR="003167C9" w:rsidRPr="003167C9">
        <w:rPr>
          <w:lang w:val="fr-FR"/>
        </w:rPr>
        <w:t>instrument (et éventuellement d'autres) à celui dans lequel l</w:t>
      </w:r>
      <w:r w:rsidR="00725BBA">
        <w:rPr>
          <w:lang w:val="fr-FR"/>
        </w:rPr>
        <w:t>’</w:t>
      </w:r>
      <w:r w:rsidR="003167C9" w:rsidRPr="003167C9">
        <w:rPr>
          <w:lang w:val="fr-FR"/>
        </w:rPr>
        <w:t>instrument est retiré cette année</w:t>
      </w:r>
      <w:r w:rsidR="00D211D0">
        <w:rPr>
          <w:lang w:val="fr-FR"/>
        </w:rPr>
        <w:t>-là</w:t>
      </w:r>
      <w:r w:rsidR="003167C9" w:rsidRPr="003167C9">
        <w:rPr>
          <w:lang w:val="fr-FR"/>
        </w:rPr>
        <w:t xml:space="preserve"> (mais maintenu pour les années précédentes). </w:t>
      </w:r>
      <w:r w:rsidR="00F55485">
        <w:rPr>
          <w:lang w:val="fr-FR"/>
        </w:rPr>
        <w:t>D</w:t>
      </w:r>
      <w:r w:rsidR="003167C9" w:rsidRPr="003167C9">
        <w:rPr>
          <w:lang w:val="fr-FR"/>
        </w:rPr>
        <w:t xml:space="preserve">eux variantes de cet indicateur </w:t>
      </w:r>
      <w:r w:rsidR="00F55485">
        <w:rPr>
          <w:lang w:val="fr-FR"/>
        </w:rPr>
        <w:t xml:space="preserve">sont calculées pour tenir </w:t>
      </w:r>
      <w:r w:rsidR="003167C9" w:rsidRPr="003167C9">
        <w:rPr>
          <w:lang w:val="fr-FR"/>
        </w:rPr>
        <w:t xml:space="preserve">compte </w:t>
      </w:r>
      <w:r w:rsidR="00F55485">
        <w:rPr>
          <w:lang w:val="fr-FR"/>
        </w:rPr>
        <w:t>des différences entre économies d’énergie conventionnelles</w:t>
      </w:r>
      <w:r w:rsidR="003167C9" w:rsidRPr="003167C9">
        <w:rPr>
          <w:lang w:val="fr-FR"/>
        </w:rPr>
        <w:t xml:space="preserve"> et </w:t>
      </w:r>
      <w:r w:rsidR="00F55485">
        <w:rPr>
          <w:lang w:val="fr-FR"/>
        </w:rPr>
        <w:t>réelles</w:t>
      </w:r>
      <w:r w:rsidR="003167C9" w:rsidRPr="003167C9">
        <w:rPr>
          <w:lang w:val="fr-FR"/>
        </w:rPr>
        <w:t xml:space="preserve">. </w:t>
      </w:r>
      <w:r w:rsidR="00E8024B" w:rsidRPr="003167C9">
        <w:rPr>
          <w:lang w:val="fr-FR"/>
        </w:rPr>
        <w:t xml:space="preserve">La comparaison des deux permet </w:t>
      </w:r>
      <w:r w:rsidR="009B5B2A">
        <w:rPr>
          <w:lang w:val="fr-FR"/>
        </w:rPr>
        <w:t xml:space="preserve">d’estimer l’importance </w:t>
      </w:r>
      <w:r w:rsidR="00940218">
        <w:rPr>
          <w:lang w:val="fr-FR"/>
        </w:rPr>
        <w:t>d</w:t>
      </w:r>
      <w:r w:rsidR="00940218" w:rsidRPr="003167C9">
        <w:rPr>
          <w:lang w:val="fr-FR"/>
        </w:rPr>
        <w:t>e</w:t>
      </w:r>
      <w:r w:rsidR="00940218">
        <w:rPr>
          <w:lang w:val="fr-FR"/>
        </w:rPr>
        <w:t xml:space="preserve"> l’</w:t>
      </w:r>
      <w:r w:rsidR="00E8024B" w:rsidRPr="003167C9">
        <w:rPr>
          <w:lang w:val="fr-FR"/>
        </w:rPr>
        <w:t>effet rebond.</w:t>
      </w:r>
      <w:r w:rsidR="00E8024B">
        <w:rPr>
          <w:lang w:val="fr-FR"/>
        </w:rPr>
        <w:t xml:space="preserve"> </w:t>
      </w:r>
      <w:r w:rsidR="003167C9" w:rsidRPr="003167C9">
        <w:rPr>
          <w:lang w:val="fr-FR"/>
        </w:rPr>
        <w:t xml:space="preserve">Dans les deux cas, les </w:t>
      </w:r>
      <w:r w:rsidR="003167C9" w:rsidRPr="003167C9">
        <w:rPr>
          <w:lang w:val="fr-FR"/>
        </w:rPr>
        <w:lastRenderedPageBreak/>
        <w:t xml:space="preserve">économies d'énergie sont actualisées à 4 % sur 26 ans, soit la durée de vie </w:t>
      </w:r>
      <w:r w:rsidR="00755243">
        <w:rPr>
          <w:lang w:val="fr-FR"/>
        </w:rPr>
        <w:t>moyenne</w:t>
      </w:r>
      <w:r w:rsidR="003167C9" w:rsidRPr="003167C9">
        <w:rPr>
          <w:lang w:val="fr-FR"/>
        </w:rPr>
        <w:t xml:space="preserve"> des investissements </w:t>
      </w:r>
      <w:r w:rsidR="00801A17">
        <w:rPr>
          <w:lang w:val="fr-FR"/>
        </w:rPr>
        <w:t>d’</w:t>
      </w:r>
      <w:r w:rsidR="003167C9" w:rsidRPr="003167C9">
        <w:rPr>
          <w:lang w:val="fr-FR"/>
        </w:rPr>
        <w:t xml:space="preserve">efficacité énergétique. </w:t>
      </w:r>
      <w:r w:rsidR="0057726A" w:rsidRPr="003167C9">
        <w:rPr>
          <w:lang w:val="fr-FR"/>
        </w:rPr>
        <w:t xml:space="preserve"> </w:t>
      </w:r>
    </w:p>
    <w:p w14:paraId="40127474" w14:textId="0EA47E7E" w:rsidR="005E073A" w:rsidRPr="004500BB" w:rsidRDefault="003167C9" w:rsidP="005E073A">
      <w:pPr>
        <w:pStyle w:val="Titre3"/>
        <w:rPr>
          <w:lang w:val="en-GB"/>
        </w:rPr>
      </w:pPr>
      <w:r>
        <w:rPr>
          <w:lang w:val="en-GB"/>
        </w:rPr>
        <w:t>Effet levier</w:t>
      </w:r>
    </w:p>
    <w:p w14:paraId="6552CA95" w14:textId="1AC3A46C" w:rsidR="003167C9" w:rsidRPr="003167C9" w:rsidRDefault="007D149E" w:rsidP="003167C9">
      <w:pPr>
        <w:rPr>
          <w:lang w:val="fr-FR"/>
        </w:rPr>
      </w:pPr>
      <w:r>
        <w:rPr>
          <w:lang w:val="fr-FR"/>
        </w:rPr>
        <w:t>L’</w:t>
      </w:r>
      <w:r w:rsidR="003167C9" w:rsidRPr="003167C9">
        <w:rPr>
          <w:lang w:val="fr-FR"/>
        </w:rPr>
        <w:t xml:space="preserve">effet levier </w:t>
      </w:r>
      <w:r>
        <w:rPr>
          <w:lang w:val="fr-FR"/>
        </w:rPr>
        <w:t xml:space="preserve">constitue une deuxième mesure d’efficience. Il est calculé </w:t>
      </w:r>
      <w:r w:rsidR="003167C9" w:rsidRPr="003167C9">
        <w:rPr>
          <w:lang w:val="fr-FR"/>
        </w:rPr>
        <w:t>comme le ra</w:t>
      </w:r>
      <w:r w:rsidR="00472357">
        <w:rPr>
          <w:lang w:val="fr-FR"/>
        </w:rPr>
        <w:t>pport entre le coût pertinent d’</w:t>
      </w:r>
      <w:r w:rsidR="003167C9" w:rsidRPr="003167C9">
        <w:rPr>
          <w:lang w:val="fr-FR"/>
        </w:rPr>
        <w:t>un instrument et les dépenses supplémentaires de rénovation qu'il induit, évalué</w:t>
      </w:r>
      <w:r>
        <w:rPr>
          <w:lang w:val="fr-FR"/>
        </w:rPr>
        <w:t>es</w:t>
      </w:r>
      <w:r w:rsidR="003167C9" w:rsidRPr="003167C9">
        <w:rPr>
          <w:lang w:val="fr-FR"/>
        </w:rPr>
        <w:t xml:space="preserve"> en comparan</w:t>
      </w:r>
      <w:r w:rsidR="00472357">
        <w:rPr>
          <w:lang w:val="fr-FR"/>
        </w:rPr>
        <w:t>t les scénarios avec et sans l’</w:t>
      </w:r>
      <w:r w:rsidR="003167C9" w:rsidRPr="003167C9">
        <w:rPr>
          <w:lang w:val="fr-FR"/>
        </w:rPr>
        <w:t xml:space="preserve">instrument en place cette année-là (mais dans les deux cas présents toutes les années précédentes). Ainsi défini, </w:t>
      </w:r>
      <w:r w:rsidR="00472357">
        <w:rPr>
          <w:lang w:val="fr-FR"/>
        </w:rPr>
        <w:t>l’indicateur agrège</w:t>
      </w:r>
      <w:r w:rsidR="003167C9" w:rsidRPr="003167C9">
        <w:rPr>
          <w:lang w:val="fr-FR"/>
        </w:rPr>
        <w:t xml:space="preserve"> les effets sur les marges intensives et </w:t>
      </w:r>
      <w:r w:rsidR="007D57F6">
        <w:rPr>
          <w:lang w:val="fr-FR"/>
        </w:rPr>
        <w:t>extensives d’</w:t>
      </w:r>
      <w:r w:rsidR="003167C9" w:rsidRPr="003167C9">
        <w:rPr>
          <w:lang w:val="fr-FR"/>
        </w:rPr>
        <w:t>investissement.</w:t>
      </w:r>
    </w:p>
    <w:p w14:paraId="68C9979E" w14:textId="44C24A73" w:rsidR="00F06337" w:rsidRPr="003167C9" w:rsidRDefault="003167C9" w:rsidP="003167C9">
      <w:pPr>
        <w:rPr>
          <w:lang w:val="fr-FR"/>
        </w:rPr>
      </w:pPr>
      <w:r w:rsidRPr="003167C9">
        <w:rPr>
          <w:lang w:val="fr-FR"/>
        </w:rPr>
        <w:t xml:space="preserve">Un effet levier élevé et un faible rapport coût-efficacité reflètent tous deux </w:t>
      </w:r>
      <w:r w:rsidR="00401816">
        <w:rPr>
          <w:lang w:val="fr-FR"/>
        </w:rPr>
        <w:t>une efficience élevée</w:t>
      </w:r>
      <w:r w:rsidRPr="003167C9">
        <w:rPr>
          <w:lang w:val="fr-FR"/>
        </w:rPr>
        <w:t xml:space="preserve">. Ils </w:t>
      </w:r>
      <w:r w:rsidR="00027B45">
        <w:rPr>
          <w:lang w:val="fr-FR"/>
        </w:rPr>
        <w:t>recouvrent</w:t>
      </w:r>
      <w:r w:rsidRPr="003167C9">
        <w:rPr>
          <w:lang w:val="fr-FR"/>
        </w:rPr>
        <w:t xml:space="preserve"> toutefois des phénomènes </w:t>
      </w:r>
      <w:r w:rsidR="00027B45">
        <w:rPr>
          <w:lang w:val="fr-FR"/>
        </w:rPr>
        <w:t xml:space="preserve">sensiblement </w:t>
      </w:r>
      <w:r w:rsidRPr="003167C9">
        <w:rPr>
          <w:lang w:val="fr-FR"/>
        </w:rPr>
        <w:t>différents, car les économies d</w:t>
      </w:r>
      <w:r w:rsidR="00AE2453">
        <w:rPr>
          <w:lang w:val="fr-FR"/>
        </w:rPr>
        <w:t>’</w:t>
      </w:r>
      <w:r w:rsidRPr="003167C9">
        <w:rPr>
          <w:lang w:val="fr-FR"/>
        </w:rPr>
        <w:t xml:space="preserve">énergie </w:t>
      </w:r>
      <w:r w:rsidR="00AE2453">
        <w:rPr>
          <w:lang w:val="fr-FR"/>
        </w:rPr>
        <w:t>(sur lesquelles est basé l’indicateur coût-efficacité) sont marginalement décroissantes tandis que les coûts marginaux (sur lesquels est basé l’effet levier) sont marginalement croissants.</w:t>
      </w:r>
    </w:p>
    <w:p w14:paraId="18CA6FE1" w14:textId="00D17282" w:rsidR="005E073A" w:rsidRPr="004500BB" w:rsidRDefault="00B14DF9" w:rsidP="005E073A">
      <w:pPr>
        <w:pStyle w:val="Titre3"/>
        <w:rPr>
          <w:lang w:val="en-GB"/>
        </w:rPr>
      </w:pPr>
      <w:r>
        <w:rPr>
          <w:lang w:val="en-GB"/>
        </w:rPr>
        <w:t>Précarité</w:t>
      </w:r>
      <w:r w:rsidR="003167C9">
        <w:rPr>
          <w:lang w:val="en-GB"/>
        </w:rPr>
        <w:t xml:space="preserve"> énergétique</w:t>
      </w:r>
    </w:p>
    <w:p w14:paraId="5F388C7E" w14:textId="77777777" w:rsidR="00BB7FE9" w:rsidRDefault="00BD53D9" w:rsidP="00BB7FE9">
      <w:pPr>
        <w:rPr>
          <w:lang w:val="fr-FR"/>
        </w:rPr>
      </w:pPr>
      <w:r>
        <w:rPr>
          <w:lang w:val="fr-FR"/>
        </w:rPr>
        <w:t>L’indicateur retenu ici pour évaluer la précarité énergétique est le taux d’effort énergétique (</w:t>
      </w:r>
      <w:r w:rsidRPr="00F27F4A">
        <w:rPr>
          <w:lang w:val="fr-FR"/>
        </w:rPr>
        <w:t>TEE</w:t>
      </w:r>
      <w:r>
        <w:rPr>
          <w:lang w:val="fr-FR"/>
        </w:rPr>
        <w:t xml:space="preserve">), qui recense </w:t>
      </w:r>
      <w:r w:rsidR="003167C9" w:rsidRPr="003167C9">
        <w:rPr>
          <w:lang w:val="fr-FR"/>
        </w:rPr>
        <w:t xml:space="preserve">le nombre de ménages </w:t>
      </w:r>
      <w:r>
        <w:rPr>
          <w:lang w:val="fr-FR"/>
        </w:rPr>
        <w:t xml:space="preserve">consacrant </w:t>
      </w:r>
      <w:r w:rsidR="003167C9" w:rsidRPr="003167C9">
        <w:rPr>
          <w:lang w:val="fr-FR"/>
        </w:rPr>
        <w:t xml:space="preserve">plus de 10 % de leur revenu aux dépenses de chauffage. </w:t>
      </w:r>
      <w:r w:rsidR="00401DA9">
        <w:rPr>
          <w:lang w:val="fr-FR"/>
        </w:rPr>
        <w:t>C</w:t>
      </w:r>
      <w:r w:rsidR="00B13928">
        <w:rPr>
          <w:lang w:val="fr-FR"/>
        </w:rPr>
        <w:t xml:space="preserve">e critère recouvre </w:t>
      </w:r>
      <w:r w:rsidR="003167C9" w:rsidRPr="00BD53D9">
        <w:rPr>
          <w:lang w:val="fr-FR"/>
        </w:rPr>
        <w:t>2,7 millions de ménages</w:t>
      </w:r>
      <w:r w:rsidR="00355BD3">
        <w:rPr>
          <w:lang w:val="fr-FR"/>
        </w:rPr>
        <w:t xml:space="preserve"> dans le modèle</w:t>
      </w:r>
      <w:r w:rsidR="00422914">
        <w:rPr>
          <w:lang w:val="fr-FR"/>
        </w:rPr>
        <w:t xml:space="preserve"> pour l’année 2012</w:t>
      </w:r>
      <w:r w:rsidR="00355BD3">
        <w:rPr>
          <w:lang w:val="fr-FR"/>
        </w:rPr>
        <w:t>, soit une estimation très proche de celle de l’Observatoire de la précarité énergétique (ONPE</w:t>
      </w:r>
      <w:r w:rsidR="006D1D3A">
        <w:rPr>
          <w:lang w:val="fr-FR"/>
        </w:rPr>
        <w:t>, 2016</w:t>
      </w:r>
      <w:r w:rsidR="00355BD3">
        <w:rPr>
          <w:lang w:val="fr-FR"/>
        </w:rPr>
        <w:t>)</w:t>
      </w:r>
      <w:r w:rsidR="003167C9" w:rsidRPr="00BD53D9">
        <w:rPr>
          <w:lang w:val="fr-FR"/>
        </w:rPr>
        <w:t>.</w:t>
      </w:r>
      <w:r w:rsidR="00355BD3">
        <w:rPr>
          <w:lang w:val="fr-FR"/>
        </w:rPr>
        <w:t xml:space="preserve"> </w:t>
      </w:r>
      <w:r w:rsidR="00F6010C">
        <w:rPr>
          <w:lang w:val="fr-FR"/>
        </w:rPr>
        <w:t>Si d’</w:t>
      </w:r>
      <w:r w:rsidR="00343500">
        <w:rPr>
          <w:lang w:val="fr-FR"/>
        </w:rPr>
        <w:t>autres indicateurs sont possibles (Charlier et Legendre, 2019)</w:t>
      </w:r>
      <w:r w:rsidR="00F6010C">
        <w:rPr>
          <w:lang w:val="fr-FR"/>
        </w:rPr>
        <w:t>, des simulations préliminaires non reportées ici indiquent qu’ils conduisent à taux de réduction de la précarité énergétique qualitativement similaires à ceux obtenus avec le TEE</w:t>
      </w:r>
      <w:r w:rsidR="009F49C7">
        <w:rPr>
          <w:lang w:val="fr-FR"/>
        </w:rPr>
        <w:t>.</w:t>
      </w:r>
    </w:p>
    <w:p w14:paraId="19D4FFDF" w14:textId="1772B92F" w:rsidR="00F63A33" w:rsidRPr="005E0E66" w:rsidRDefault="00F145C1" w:rsidP="00556D32">
      <w:pPr>
        <w:pStyle w:val="Titre1"/>
        <w:rPr>
          <w:lang w:val="fr-FR"/>
        </w:rPr>
      </w:pPr>
      <w:r w:rsidRPr="005E0E66">
        <w:rPr>
          <w:lang w:val="fr-FR"/>
        </w:rPr>
        <w:t>R</w:t>
      </w:r>
      <w:r w:rsidR="004916BE" w:rsidRPr="005E0E66">
        <w:rPr>
          <w:lang w:val="fr-FR"/>
        </w:rPr>
        <w:t>é</w:t>
      </w:r>
      <w:r w:rsidR="002F4562" w:rsidRPr="005E0E66">
        <w:rPr>
          <w:lang w:val="fr-FR"/>
        </w:rPr>
        <w:t>sult</w:t>
      </w:r>
      <w:r w:rsidR="003167C9" w:rsidRPr="005E0E66">
        <w:rPr>
          <w:lang w:val="fr-FR"/>
        </w:rPr>
        <w:t>at</w:t>
      </w:r>
      <w:r w:rsidR="002F4562" w:rsidRPr="005E0E66">
        <w:rPr>
          <w:lang w:val="fr-FR"/>
        </w:rPr>
        <w:t>s</w:t>
      </w:r>
    </w:p>
    <w:p w14:paraId="1B68D3B3" w14:textId="4C9277F9" w:rsidR="00007DD2" w:rsidRPr="004500BB" w:rsidRDefault="003167C9" w:rsidP="00007DD2">
      <w:pPr>
        <w:pStyle w:val="Titre2"/>
        <w:rPr>
          <w:lang w:val="en-GB"/>
        </w:rPr>
      </w:pPr>
      <w:r>
        <w:rPr>
          <w:lang w:val="en-GB"/>
        </w:rPr>
        <w:t>Efficacité environnementale</w:t>
      </w:r>
    </w:p>
    <w:p w14:paraId="2BA02E48" w14:textId="32E7EBD5" w:rsidR="002968D6" w:rsidRPr="00D95F27" w:rsidRDefault="00606FED" w:rsidP="00007DD2">
      <w:pPr>
        <w:rPr>
          <w:lang w:val="fr-FR"/>
        </w:rPr>
      </w:pPr>
      <w:r>
        <w:rPr>
          <w:lang w:val="fr-FR"/>
        </w:rPr>
        <w:t>La F</w:t>
      </w:r>
      <w:r w:rsidR="00357144">
        <w:rPr>
          <w:lang w:val="fr-FR"/>
        </w:rPr>
        <w:t>igure 3</w:t>
      </w:r>
      <w:r w:rsidR="00D95F27" w:rsidRPr="00D95F27">
        <w:rPr>
          <w:lang w:val="fr-FR"/>
        </w:rPr>
        <w:t xml:space="preserve"> </w:t>
      </w:r>
      <w:r>
        <w:rPr>
          <w:lang w:val="fr-FR"/>
        </w:rPr>
        <w:t>illustre</w:t>
      </w:r>
      <w:r w:rsidR="00D95F27" w:rsidRPr="00D95F27">
        <w:rPr>
          <w:lang w:val="fr-FR"/>
        </w:rPr>
        <w:t xml:space="preserve"> la consommation </w:t>
      </w:r>
      <w:r>
        <w:rPr>
          <w:lang w:val="fr-FR"/>
        </w:rPr>
        <w:t>d’</w:t>
      </w:r>
      <w:r w:rsidR="00D95F27" w:rsidRPr="00D95F27">
        <w:rPr>
          <w:lang w:val="fr-FR"/>
        </w:rPr>
        <w:t xml:space="preserve">énergie </w:t>
      </w:r>
      <w:r>
        <w:rPr>
          <w:lang w:val="fr-FR"/>
        </w:rPr>
        <w:t xml:space="preserve">finale dans les différents </w:t>
      </w:r>
      <w:r w:rsidR="00D95F27" w:rsidRPr="00D95F27">
        <w:rPr>
          <w:lang w:val="fr-FR"/>
        </w:rPr>
        <w:t>scénarios. La consommation réelle d</w:t>
      </w:r>
      <w:r w:rsidR="00A24F10">
        <w:rPr>
          <w:lang w:val="fr-FR"/>
        </w:rPr>
        <w:t>’</w:t>
      </w:r>
      <w:r w:rsidR="00D95F27" w:rsidRPr="00D95F27">
        <w:rPr>
          <w:lang w:val="fr-FR"/>
        </w:rPr>
        <w:t xml:space="preserve">énergie </w:t>
      </w:r>
      <w:r w:rsidR="00A24F10">
        <w:rPr>
          <w:lang w:val="fr-FR"/>
        </w:rPr>
        <w:t xml:space="preserve">diminue </w:t>
      </w:r>
      <w:r w:rsidR="00D95F27" w:rsidRPr="00D95F27">
        <w:rPr>
          <w:lang w:val="fr-FR"/>
        </w:rPr>
        <w:t>de 18 % en 2020 et de 45 % en 2050 par rapport à 2012</w:t>
      </w:r>
      <w:r w:rsidR="00A24F10">
        <w:rPr>
          <w:lang w:val="fr-FR"/>
        </w:rPr>
        <w:t xml:space="preserve"> </w:t>
      </w:r>
      <w:r w:rsidR="00A24F10" w:rsidRPr="00D95F27">
        <w:rPr>
          <w:lang w:val="fr-FR"/>
        </w:rPr>
        <w:t>avec toutes les politiques (</w:t>
      </w:r>
      <w:r w:rsidR="00A24F10">
        <w:rPr>
          <w:lang w:val="fr-FR"/>
        </w:rPr>
        <w:t>TP</w:t>
      </w:r>
      <w:r w:rsidR="00A24F10" w:rsidRPr="00D95F27">
        <w:rPr>
          <w:lang w:val="fr-FR"/>
        </w:rPr>
        <w:t>)</w:t>
      </w:r>
      <w:r w:rsidR="00D95F27" w:rsidRPr="00D95F27">
        <w:rPr>
          <w:lang w:val="fr-FR"/>
        </w:rPr>
        <w:t xml:space="preserve">. </w:t>
      </w:r>
      <w:r w:rsidR="00A24F10">
        <w:rPr>
          <w:lang w:val="fr-FR"/>
        </w:rPr>
        <w:t>L’objectif 1 n’est donc pas atteint. Il l’est lorsque</w:t>
      </w:r>
      <w:r w:rsidR="00D95F27" w:rsidRPr="00D95F27">
        <w:rPr>
          <w:lang w:val="fr-FR"/>
        </w:rPr>
        <w:t xml:space="preserve"> </w:t>
      </w:r>
      <w:r w:rsidR="00A24F10">
        <w:rPr>
          <w:lang w:val="fr-FR"/>
        </w:rPr>
        <w:t xml:space="preserve">les </w:t>
      </w:r>
      <w:r w:rsidR="00D95F27" w:rsidRPr="00D95F27">
        <w:rPr>
          <w:lang w:val="fr-FR"/>
        </w:rPr>
        <w:t xml:space="preserve">politiques </w:t>
      </w:r>
      <w:r w:rsidR="00A24F10">
        <w:rPr>
          <w:lang w:val="fr-FR"/>
        </w:rPr>
        <w:t xml:space="preserve">sont </w:t>
      </w:r>
      <w:r w:rsidR="00D95F27" w:rsidRPr="00D95F27">
        <w:rPr>
          <w:lang w:val="fr-FR"/>
        </w:rPr>
        <w:t>fixées à des niveaux plus ambitieux (</w:t>
      </w:r>
      <w:r w:rsidR="008C5A46">
        <w:rPr>
          <w:lang w:val="fr-FR"/>
        </w:rPr>
        <w:t>TP</w:t>
      </w:r>
      <w:r w:rsidR="00D95F27" w:rsidRPr="00D95F27">
        <w:rPr>
          <w:lang w:val="fr-FR"/>
        </w:rPr>
        <w:t>+)</w:t>
      </w:r>
      <w:r w:rsidR="00A24F10">
        <w:rPr>
          <w:lang w:val="fr-FR"/>
        </w:rPr>
        <w:t xml:space="preserve"> ou étendues au parc locatif privé</w:t>
      </w:r>
      <w:r w:rsidR="00D95F27" w:rsidRPr="00D95F27">
        <w:rPr>
          <w:lang w:val="fr-FR"/>
        </w:rPr>
        <w:t xml:space="preserve"> (</w:t>
      </w:r>
      <w:r w:rsidR="008C5A46">
        <w:rPr>
          <w:lang w:val="fr-FR"/>
        </w:rPr>
        <w:t>TP</w:t>
      </w:r>
      <w:r w:rsidR="00D95F27" w:rsidRPr="00D95F27">
        <w:rPr>
          <w:lang w:val="fr-FR"/>
        </w:rPr>
        <w:t>-</w:t>
      </w:r>
      <w:r w:rsidR="008C5A46">
        <w:rPr>
          <w:lang w:val="fr-FR"/>
        </w:rPr>
        <w:t>DPL</w:t>
      </w:r>
      <w:r w:rsidR="00D95F27" w:rsidRPr="00D95F27">
        <w:rPr>
          <w:lang w:val="fr-FR"/>
        </w:rPr>
        <w:t xml:space="preserve">). Rappelons </w:t>
      </w:r>
      <w:r w:rsidR="00A24F10">
        <w:rPr>
          <w:lang w:val="fr-FR"/>
        </w:rPr>
        <w:t xml:space="preserve">toutefois </w:t>
      </w:r>
      <w:r w:rsidR="00D95F27" w:rsidRPr="00D95F27">
        <w:rPr>
          <w:lang w:val="fr-FR"/>
        </w:rPr>
        <w:t xml:space="preserve">que </w:t>
      </w:r>
      <w:r w:rsidR="00A24F10">
        <w:rPr>
          <w:lang w:val="fr-FR"/>
        </w:rPr>
        <w:t xml:space="preserve">l’objectif </w:t>
      </w:r>
      <w:r w:rsidR="00D95F27" w:rsidRPr="00D95F27">
        <w:rPr>
          <w:lang w:val="fr-FR"/>
        </w:rPr>
        <w:t>1 s</w:t>
      </w:r>
      <w:r w:rsidR="00A24F10">
        <w:rPr>
          <w:lang w:val="fr-FR"/>
        </w:rPr>
        <w:t>’applique à la consommation totale d’énergie française</w:t>
      </w:r>
      <w:r w:rsidR="00D95F27" w:rsidRPr="00D95F27">
        <w:rPr>
          <w:lang w:val="fr-FR"/>
        </w:rPr>
        <w:t xml:space="preserve">. </w:t>
      </w:r>
      <w:r w:rsidR="00E95F0E">
        <w:rPr>
          <w:lang w:val="fr-FR"/>
        </w:rPr>
        <w:t xml:space="preserve">Appliqué spécifiquement au secteur du bâtiment résidentiel, qui connaît historiquement la plus forte diminution de consommation d’énergie (environ 1%/an, d’après </w:t>
      </w:r>
      <w:r w:rsidR="00D95F27" w:rsidRPr="00D95F27">
        <w:rPr>
          <w:lang w:val="fr-FR"/>
        </w:rPr>
        <w:t>ADEME, 2015)</w:t>
      </w:r>
      <w:r w:rsidR="00E95F0E">
        <w:rPr>
          <w:lang w:val="fr-FR"/>
        </w:rPr>
        <w:t>, cet objectif est par nature peu ambitieux</w:t>
      </w:r>
      <w:r w:rsidR="00D95F27" w:rsidRPr="00D95F27">
        <w:rPr>
          <w:lang w:val="fr-FR"/>
        </w:rPr>
        <w:t xml:space="preserve">. En comparant les scénarios </w:t>
      </w:r>
      <w:r w:rsidR="008C5A46">
        <w:rPr>
          <w:lang w:val="fr-FR"/>
        </w:rPr>
        <w:t>TP</w:t>
      </w:r>
      <w:r w:rsidR="00D95F27" w:rsidRPr="00D95F27">
        <w:rPr>
          <w:lang w:val="fr-FR"/>
        </w:rPr>
        <w:t xml:space="preserve"> et ZP, on constate que l'essentiel des économies d'énergie est dû </w:t>
      </w:r>
      <w:r w:rsidR="000B26A5">
        <w:rPr>
          <w:lang w:val="fr-FR"/>
        </w:rPr>
        <w:t>à l’amélioration autonome de l’efficacité énergétique, stimulée notamment par la hausse des prix des énergies</w:t>
      </w:r>
      <w:r w:rsidR="00ED43F9">
        <w:rPr>
          <w:rStyle w:val="Appelnotedebasdep"/>
          <w:lang w:val="fr-FR"/>
        </w:rPr>
        <w:footnoteReference w:id="7"/>
      </w:r>
      <w:r w:rsidR="000B26A5">
        <w:rPr>
          <w:lang w:val="fr-FR"/>
        </w:rPr>
        <w:t xml:space="preserve">, le remplacement naturel des équipements défectueux et la </w:t>
      </w:r>
      <w:r w:rsidR="00E95F0E">
        <w:rPr>
          <w:lang w:val="fr-FR"/>
        </w:rPr>
        <w:t>RT</w:t>
      </w:r>
      <w:r w:rsidR="00D95F27" w:rsidRPr="00D95F27">
        <w:rPr>
          <w:lang w:val="fr-FR"/>
        </w:rPr>
        <w:t xml:space="preserve">2012. Les politiques </w:t>
      </w:r>
      <w:r w:rsidR="00E95F0E">
        <w:rPr>
          <w:lang w:val="fr-FR"/>
        </w:rPr>
        <w:t>contribuent</w:t>
      </w:r>
      <w:r w:rsidR="00D95F27" w:rsidRPr="00D95F27">
        <w:rPr>
          <w:lang w:val="fr-FR"/>
        </w:rPr>
        <w:t xml:space="preserve"> </w:t>
      </w:r>
      <w:r w:rsidR="00E95F0E">
        <w:rPr>
          <w:lang w:val="fr-FR"/>
        </w:rPr>
        <w:t xml:space="preserve">pour </w:t>
      </w:r>
      <w:r w:rsidR="00D95F27" w:rsidRPr="00D95F27">
        <w:rPr>
          <w:lang w:val="fr-FR"/>
        </w:rPr>
        <w:t xml:space="preserve">environ </w:t>
      </w:r>
      <w:r w:rsidR="00E95F0E">
        <w:rPr>
          <w:lang w:val="fr-FR"/>
        </w:rPr>
        <w:t xml:space="preserve">un tiers </w:t>
      </w:r>
      <w:r w:rsidR="007C0F63">
        <w:rPr>
          <w:lang w:val="fr-FR"/>
        </w:rPr>
        <w:t xml:space="preserve">aux </w:t>
      </w:r>
      <w:r w:rsidR="00E95F0E">
        <w:rPr>
          <w:lang w:val="fr-FR"/>
        </w:rPr>
        <w:t>économies d’</w:t>
      </w:r>
      <w:r w:rsidR="00D95F27" w:rsidRPr="00D95F27">
        <w:rPr>
          <w:lang w:val="fr-FR"/>
        </w:rPr>
        <w:t xml:space="preserve">énergie. </w:t>
      </w:r>
      <w:r w:rsidR="00246A26">
        <w:rPr>
          <w:lang w:val="fr-FR"/>
        </w:rPr>
        <w:t xml:space="preserve">Une observation plus détaillée révèle que </w:t>
      </w:r>
      <w:r w:rsidR="00D95F27" w:rsidRPr="00D95F27">
        <w:rPr>
          <w:lang w:val="fr-FR"/>
        </w:rPr>
        <w:t xml:space="preserve">la plupart des réductions </w:t>
      </w:r>
      <w:r w:rsidR="00246A26">
        <w:rPr>
          <w:lang w:val="fr-FR"/>
        </w:rPr>
        <w:t xml:space="preserve">portent sur les </w:t>
      </w:r>
      <w:r w:rsidR="00D95F27" w:rsidRPr="00D95F27">
        <w:rPr>
          <w:lang w:val="fr-FR"/>
        </w:rPr>
        <w:t xml:space="preserve">combustibles fossiles </w:t>
      </w:r>
      <w:r w:rsidR="00246A26">
        <w:rPr>
          <w:lang w:val="fr-FR"/>
        </w:rPr>
        <w:t xml:space="preserve">– gaz </w:t>
      </w:r>
      <w:r w:rsidR="00D95F27" w:rsidRPr="00D95F27">
        <w:rPr>
          <w:lang w:val="fr-FR"/>
        </w:rPr>
        <w:t xml:space="preserve">naturel et, dans une moindre mesure, </w:t>
      </w:r>
      <w:r w:rsidR="009A1520">
        <w:rPr>
          <w:lang w:val="fr-FR"/>
        </w:rPr>
        <w:t>fioul domestique</w:t>
      </w:r>
      <w:r w:rsidR="00D95F27" w:rsidRPr="00D95F27">
        <w:rPr>
          <w:lang w:val="fr-FR"/>
        </w:rPr>
        <w:t>. L</w:t>
      </w:r>
      <w:r w:rsidR="00B745AB">
        <w:rPr>
          <w:lang w:val="fr-FR"/>
        </w:rPr>
        <w:t>’</w:t>
      </w:r>
      <w:r w:rsidR="00FE3445">
        <w:rPr>
          <w:lang w:val="fr-FR"/>
        </w:rPr>
        <w:t xml:space="preserve">augmentation de </w:t>
      </w:r>
      <w:r w:rsidR="00FE3445">
        <w:rPr>
          <w:lang w:val="fr-FR"/>
        </w:rPr>
        <w:lastRenderedPageBreak/>
        <w:t>l’</w:t>
      </w:r>
      <w:r w:rsidR="00D95F27" w:rsidRPr="00D95F27">
        <w:rPr>
          <w:lang w:val="fr-FR"/>
        </w:rPr>
        <w:t>intensité d</w:t>
      </w:r>
      <w:r w:rsidR="00B745AB">
        <w:rPr>
          <w:lang w:val="fr-FR"/>
        </w:rPr>
        <w:t>’</w:t>
      </w:r>
      <w:r w:rsidR="00D95F27" w:rsidRPr="00D95F27">
        <w:rPr>
          <w:lang w:val="fr-FR"/>
        </w:rPr>
        <w:t>u</w:t>
      </w:r>
      <w:r w:rsidR="00B745AB">
        <w:rPr>
          <w:lang w:val="fr-FR"/>
        </w:rPr>
        <w:t xml:space="preserve">tilisation </w:t>
      </w:r>
      <w:r w:rsidR="00D95F27" w:rsidRPr="00D95F27">
        <w:rPr>
          <w:lang w:val="fr-FR"/>
        </w:rPr>
        <w:t>d</w:t>
      </w:r>
      <w:r w:rsidR="00B745AB">
        <w:rPr>
          <w:lang w:val="fr-FR"/>
        </w:rPr>
        <w:t>’</w:t>
      </w:r>
      <w:r w:rsidR="00D95F27" w:rsidRPr="00D95F27">
        <w:rPr>
          <w:lang w:val="fr-FR"/>
        </w:rPr>
        <w:t xml:space="preserve">environ 20 % au cours de la période dans les scénarios ZP et </w:t>
      </w:r>
      <w:r w:rsidR="008C5A46">
        <w:rPr>
          <w:lang w:val="fr-FR"/>
        </w:rPr>
        <w:t>TP</w:t>
      </w:r>
      <w:r w:rsidR="00357144">
        <w:rPr>
          <w:lang w:val="fr-FR"/>
        </w:rPr>
        <w:t xml:space="preserve"> (Figure 4</w:t>
      </w:r>
      <w:r w:rsidR="00D95F27" w:rsidRPr="00D95F27">
        <w:rPr>
          <w:lang w:val="fr-FR"/>
        </w:rPr>
        <w:t>)</w:t>
      </w:r>
      <w:r w:rsidR="00FE3445">
        <w:rPr>
          <w:lang w:val="fr-FR"/>
        </w:rPr>
        <w:t xml:space="preserve"> peut </w:t>
      </w:r>
      <w:r w:rsidR="00D95F27" w:rsidRPr="00D95F27">
        <w:rPr>
          <w:lang w:val="fr-FR"/>
        </w:rPr>
        <w:t>être interprété</w:t>
      </w:r>
      <w:r w:rsidR="00FE3445">
        <w:rPr>
          <w:lang w:val="fr-FR"/>
        </w:rPr>
        <w:t>e</w:t>
      </w:r>
      <w:r w:rsidR="00D95F27" w:rsidRPr="00D95F27">
        <w:rPr>
          <w:lang w:val="fr-FR"/>
        </w:rPr>
        <w:t xml:space="preserve"> comme un effet rebond de 20 %.</w:t>
      </w:r>
    </w:p>
    <w:p w14:paraId="2C074473" w14:textId="7FFDED78" w:rsidR="00ED014D" w:rsidRPr="00E1704D" w:rsidRDefault="00CF63DC" w:rsidP="00ED014D">
      <w:pPr>
        <w:keepNext/>
        <w:jc w:val="center"/>
        <w:rPr>
          <w:lang w:val="en-GB"/>
        </w:rPr>
      </w:pPr>
      <w:r>
        <w:rPr>
          <w:noProof/>
        </w:rPr>
        <w:drawing>
          <wp:inline distT="0" distB="0" distL="0" distR="0" wp14:anchorId="4B8C1D0A" wp14:editId="5942D9A1">
            <wp:extent cx="5061857" cy="2530929"/>
            <wp:effectExtent l="0" t="0" r="5715" b="3175"/>
            <wp:docPr id="20" name="Image 20" descr="C:\Users\Admin\AppData\Local\Temp\Presentationconso_reelle_Agre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Presentationconso_reelle_Agre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9968" cy="2534984"/>
                    </a:xfrm>
                    <a:prstGeom prst="rect">
                      <a:avLst/>
                    </a:prstGeom>
                    <a:noFill/>
                    <a:ln>
                      <a:noFill/>
                    </a:ln>
                  </pic:spPr>
                </pic:pic>
              </a:graphicData>
            </a:graphic>
          </wp:inline>
        </w:drawing>
      </w:r>
    </w:p>
    <w:p w14:paraId="2DD9CC51" w14:textId="3DD6B986" w:rsidR="00ED014D" w:rsidRPr="00E1704D" w:rsidRDefault="00ED014D" w:rsidP="00ED014D">
      <w:pPr>
        <w:pStyle w:val="Lgende"/>
        <w:jc w:val="center"/>
        <w:rPr>
          <w:lang w:val="en-GB"/>
        </w:rPr>
      </w:pPr>
      <w:r w:rsidRPr="00E1704D">
        <w:rPr>
          <w:lang w:val="en-GB"/>
        </w:rPr>
        <w:t xml:space="preserve">Figure </w:t>
      </w:r>
      <w:r w:rsidR="005771E8" w:rsidRPr="00E1704D">
        <w:rPr>
          <w:lang w:val="en-GB"/>
        </w:rPr>
        <w:fldChar w:fldCharType="begin"/>
      </w:r>
      <w:r w:rsidR="005771E8" w:rsidRPr="00E1704D">
        <w:rPr>
          <w:lang w:val="en-GB"/>
        </w:rPr>
        <w:instrText xml:space="preserve"> SEQ Figure \* ARABIC </w:instrText>
      </w:r>
      <w:r w:rsidR="005771E8" w:rsidRPr="00E1704D">
        <w:rPr>
          <w:lang w:val="en-GB"/>
        </w:rPr>
        <w:fldChar w:fldCharType="separate"/>
      </w:r>
      <w:r w:rsidR="000D3843">
        <w:rPr>
          <w:noProof/>
          <w:lang w:val="en-GB"/>
        </w:rPr>
        <w:t>3</w:t>
      </w:r>
      <w:r w:rsidR="005771E8" w:rsidRPr="00E1704D">
        <w:rPr>
          <w:noProof/>
          <w:lang w:val="en-GB"/>
        </w:rPr>
        <w:fldChar w:fldCharType="end"/>
      </w:r>
      <w:r w:rsidRPr="00E1704D">
        <w:rPr>
          <w:lang w:val="en-GB"/>
        </w:rPr>
        <w:t xml:space="preserve">: </w:t>
      </w:r>
      <w:r w:rsidR="004C0C3B">
        <w:rPr>
          <w:lang w:val="en-GB"/>
        </w:rPr>
        <w:t>Consommation d’énergie finale</w:t>
      </w:r>
    </w:p>
    <w:p w14:paraId="177FFF6B" w14:textId="2647AFBE" w:rsidR="007D4F6A" w:rsidRPr="00C912D0" w:rsidRDefault="00CF63DC" w:rsidP="007D4F6A">
      <w:pPr>
        <w:keepNext/>
        <w:jc w:val="center"/>
        <w:rPr>
          <w:lang w:val="en-GB"/>
        </w:rPr>
      </w:pPr>
      <w:r>
        <w:rPr>
          <w:noProof/>
        </w:rPr>
        <w:drawing>
          <wp:inline distT="0" distB="0" distL="0" distR="0" wp14:anchorId="272DC426" wp14:editId="21CA9B28">
            <wp:extent cx="5159828" cy="2579914"/>
            <wp:effectExtent l="0" t="0" r="3175" b="0"/>
            <wp:docPr id="47" name="Image 47" descr="C:\Users\Admin\AppData\Local\Temp\PresentationI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PresentationIU-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7053" cy="2583526"/>
                    </a:xfrm>
                    <a:prstGeom prst="rect">
                      <a:avLst/>
                    </a:prstGeom>
                    <a:noFill/>
                    <a:ln>
                      <a:noFill/>
                    </a:ln>
                  </pic:spPr>
                </pic:pic>
              </a:graphicData>
            </a:graphic>
          </wp:inline>
        </w:drawing>
      </w:r>
    </w:p>
    <w:p w14:paraId="247663FF" w14:textId="2ABB85EE" w:rsidR="007D4F6A" w:rsidRPr="00CA3302" w:rsidRDefault="007D4F6A" w:rsidP="007D4F6A">
      <w:pPr>
        <w:pStyle w:val="Lgende"/>
        <w:jc w:val="center"/>
        <w:rPr>
          <w:lang w:val="fr-FR"/>
        </w:rPr>
      </w:pPr>
      <w:r w:rsidRPr="00CA3302">
        <w:rPr>
          <w:lang w:val="fr-FR"/>
        </w:rPr>
        <w:t xml:space="preserve">Figure </w:t>
      </w:r>
      <w:r w:rsidR="005771E8" w:rsidRPr="00C912D0">
        <w:rPr>
          <w:lang w:val="en-GB"/>
        </w:rPr>
        <w:fldChar w:fldCharType="begin"/>
      </w:r>
      <w:r w:rsidR="005771E8" w:rsidRPr="00CA3302">
        <w:rPr>
          <w:lang w:val="fr-FR"/>
        </w:rPr>
        <w:instrText xml:space="preserve"> SEQ Figure \* ARABIC </w:instrText>
      </w:r>
      <w:r w:rsidR="005771E8" w:rsidRPr="00C912D0">
        <w:rPr>
          <w:lang w:val="en-GB"/>
        </w:rPr>
        <w:fldChar w:fldCharType="separate"/>
      </w:r>
      <w:r w:rsidR="000D3843">
        <w:rPr>
          <w:noProof/>
          <w:lang w:val="fr-FR"/>
        </w:rPr>
        <w:t>4</w:t>
      </w:r>
      <w:r w:rsidR="005771E8" w:rsidRPr="00C912D0">
        <w:rPr>
          <w:noProof/>
          <w:lang w:val="en-GB"/>
        </w:rPr>
        <w:fldChar w:fldCharType="end"/>
      </w:r>
      <w:r w:rsidRPr="00CA3302">
        <w:rPr>
          <w:lang w:val="fr-FR"/>
        </w:rPr>
        <w:t xml:space="preserve">: </w:t>
      </w:r>
      <w:r w:rsidR="00D971D4">
        <w:rPr>
          <w:lang w:val="fr-FR"/>
        </w:rPr>
        <w:t>Intensité d’utilisation</w:t>
      </w:r>
    </w:p>
    <w:p w14:paraId="6CE6E2FC" w14:textId="4379004F" w:rsidR="00A57BA2" w:rsidRPr="00D95F27" w:rsidRDefault="000C06F8" w:rsidP="00007DD2">
      <w:pPr>
        <w:rPr>
          <w:lang w:val="fr-FR"/>
        </w:rPr>
      </w:pPr>
      <w:r>
        <w:rPr>
          <w:lang w:val="fr-FR"/>
        </w:rPr>
        <w:t>La dynamique de rénovation</w:t>
      </w:r>
      <w:r w:rsidR="00D95F27" w:rsidRPr="00D95F27">
        <w:rPr>
          <w:lang w:val="fr-FR"/>
        </w:rPr>
        <w:t xml:space="preserve"> est </w:t>
      </w:r>
      <w:r>
        <w:rPr>
          <w:lang w:val="fr-FR"/>
        </w:rPr>
        <w:t>décrite</w:t>
      </w:r>
      <w:r w:rsidR="00357144">
        <w:rPr>
          <w:lang w:val="fr-FR"/>
        </w:rPr>
        <w:t xml:space="preserve"> à la Figure 5</w:t>
      </w:r>
      <w:r w:rsidR="00D95F27" w:rsidRPr="00D95F27">
        <w:rPr>
          <w:lang w:val="fr-FR"/>
        </w:rPr>
        <w:t xml:space="preserve">. </w:t>
      </w:r>
      <w:r>
        <w:rPr>
          <w:lang w:val="fr-FR"/>
        </w:rPr>
        <w:t xml:space="preserve">Le nombre de rénovations s’élève à </w:t>
      </w:r>
      <w:r w:rsidR="00D95F27" w:rsidRPr="00D95F27">
        <w:rPr>
          <w:lang w:val="fr-FR"/>
        </w:rPr>
        <w:t>687 000 en 2012, dont 115 000 sont attribuables aux politiques</w:t>
      </w:r>
      <w:r w:rsidR="004B4021">
        <w:rPr>
          <w:rStyle w:val="Appelnotedebasdep"/>
          <w:lang w:val="fr-FR"/>
        </w:rPr>
        <w:footnoteReference w:id="8"/>
      </w:r>
      <w:r w:rsidR="00D95F27" w:rsidRPr="00D95F27">
        <w:rPr>
          <w:lang w:val="fr-FR"/>
        </w:rPr>
        <w:t xml:space="preserve">. A première vue, </w:t>
      </w:r>
      <w:r>
        <w:rPr>
          <w:lang w:val="fr-FR"/>
        </w:rPr>
        <w:t xml:space="preserve">l’objectif </w:t>
      </w:r>
      <w:r w:rsidR="00D95F27" w:rsidRPr="00D95F27">
        <w:rPr>
          <w:lang w:val="fr-FR"/>
        </w:rPr>
        <w:t xml:space="preserve">2 est </w:t>
      </w:r>
      <w:r>
        <w:rPr>
          <w:lang w:val="fr-FR"/>
        </w:rPr>
        <w:t>atteint</w:t>
      </w:r>
      <w:r w:rsidR="00D95F27" w:rsidRPr="00D95F27">
        <w:rPr>
          <w:lang w:val="fr-FR"/>
        </w:rPr>
        <w:t>, en l</w:t>
      </w:r>
      <w:r>
        <w:rPr>
          <w:lang w:val="fr-FR"/>
        </w:rPr>
        <w:t>’</w:t>
      </w:r>
      <w:r w:rsidR="00D95F27" w:rsidRPr="00D95F27">
        <w:rPr>
          <w:lang w:val="fr-FR"/>
        </w:rPr>
        <w:t xml:space="preserve">absence </w:t>
      </w:r>
      <w:r>
        <w:rPr>
          <w:lang w:val="fr-FR"/>
        </w:rPr>
        <w:t xml:space="preserve">même </w:t>
      </w:r>
      <w:r w:rsidR="00D95F27" w:rsidRPr="00D95F27">
        <w:rPr>
          <w:lang w:val="fr-FR"/>
        </w:rPr>
        <w:t xml:space="preserve">de toute politique. Deux </w:t>
      </w:r>
      <w:r>
        <w:rPr>
          <w:lang w:val="fr-FR"/>
        </w:rPr>
        <w:t>nuances s’</w:t>
      </w:r>
      <w:r w:rsidR="00D95F27" w:rsidRPr="00D95F27">
        <w:rPr>
          <w:lang w:val="fr-FR"/>
        </w:rPr>
        <w:t xml:space="preserve">imposent </w:t>
      </w:r>
      <w:r>
        <w:rPr>
          <w:lang w:val="fr-FR"/>
        </w:rPr>
        <w:t>néanmoins</w:t>
      </w:r>
      <w:r w:rsidR="00D95F27" w:rsidRPr="00D95F27">
        <w:rPr>
          <w:lang w:val="fr-FR"/>
        </w:rPr>
        <w:t xml:space="preserve">. </w:t>
      </w:r>
      <w:r>
        <w:rPr>
          <w:lang w:val="fr-FR"/>
        </w:rPr>
        <w:t>D’</w:t>
      </w:r>
      <w:r w:rsidR="00D95F27" w:rsidRPr="00D95F27">
        <w:rPr>
          <w:lang w:val="fr-FR"/>
        </w:rPr>
        <w:t xml:space="preserve">abord, </w:t>
      </w:r>
      <w:r w:rsidR="00A55097">
        <w:rPr>
          <w:lang w:val="fr-FR"/>
        </w:rPr>
        <w:t>le</w:t>
      </w:r>
      <w:r w:rsidR="004F0705">
        <w:rPr>
          <w:lang w:val="fr-FR"/>
        </w:rPr>
        <w:t xml:space="preserve"> nombre de</w:t>
      </w:r>
      <w:r w:rsidR="00A55097">
        <w:rPr>
          <w:lang w:val="fr-FR"/>
        </w:rPr>
        <w:t xml:space="preserve"> rénovations simulées dans le</w:t>
      </w:r>
      <w:r w:rsidR="00A55097" w:rsidRPr="00D95F27">
        <w:rPr>
          <w:lang w:val="fr-FR"/>
        </w:rPr>
        <w:t xml:space="preserve"> logement social </w:t>
      </w:r>
      <w:r w:rsidR="00A55097">
        <w:rPr>
          <w:lang w:val="fr-FR"/>
        </w:rPr>
        <w:t xml:space="preserve">s’élève à </w:t>
      </w:r>
      <w:r w:rsidR="00A55097" w:rsidRPr="00D95F27">
        <w:rPr>
          <w:lang w:val="fr-FR"/>
        </w:rPr>
        <w:t>40 000, soit 6 % du total des rénovations, alors que l</w:t>
      </w:r>
      <w:r w:rsidR="00A55097">
        <w:rPr>
          <w:lang w:val="fr-FR"/>
        </w:rPr>
        <w:t xml:space="preserve">’objectif </w:t>
      </w:r>
      <w:r w:rsidR="00A55097" w:rsidRPr="00D95F27">
        <w:rPr>
          <w:lang w:val="fr-FR"/>
        </w:rPr>
        <w:t xml:space="preserve">2 </w:t>
      </w:r>
      <w:r w:rsidR="00A55097">
        <w:rPr>
          <w:lang w:val="fr-FR"/>
        </w:rPr>
        <w:t>fixe cette part à</w:t>
      </w:r>
      <w:r w:rsidR="00A55097" w:rsidRPr="00D95F27">
        <w:rPr>
          <w:lang w:val="fr-FR"/>
        </w:rPr>
        <w:t xml:space="preserve"> 24 %. </w:t>
      </w:r>
      <w:r w:rsidR="00A55097">
        <w:rPr>
          <w:lang w:val="fr-FR"/>
        </w:rPr>
        <w:t xml:space="preserve">Ensuite, </w:t>
      </w:r>
      <w:r>
        <w:rPr>
          <w:lang w:val="fr-FR"/>
        </w:rPr>
        <w:t>est comptabilisé ici comme rénovation énergétique tout saut d’</w:t>
      </w:r>
      <w:r w:rsidR="00D95F27" w:rsidRPr="00D95F27">
        <w:rPr>
          <w:lang w:val="fr-FR"/>
        </w:rPr>
        <w:t>au moins un</w:t>
      </w:r>
      <w:r w:rsidR="00B741CE">
        <w:rPr>
          <w:lang w:val="fr-FR"/>
        </w:rPr>
        <w:t>e</w:t>
      </w:r>
      <w:r w:rsidR="00D95F27" w:rsidRPr="00D95F27">
        <w:rPr>
          <w:lang w:val="fr-FR"/>
        </w:rPr>
        <w:t xml:space="preserve"> </w:t>
      </w:r>
      <w:r w:rsidR="00316999">
        <w:rPr>
          <w:lang w:val="fr-FR"/>
        </w:rPr>
        <w:t>étiquette</w:t>
      </w:r>
      <w:r w:rsidR="00D95F27" w:rsidRPr="00D95F27">
        <w:rPr>
          <w:lang w:val="fr-FR"/>
        </w:rPr>
        <w:t xml:space="preserve"> </w:t>
      </w:r>
      <w:r>
        <w:rPr>
          <w:lang w:val="fr-FR"/>
        </w:rPr>
        <w:t>du DPE</w:t>
      </w:r>
      <w:r w:rsidR="00D95F27" w:rsidRPr="00D95F27">
        <w:rPr>
          <w:lang w:val="fr-FR"/>
        </w:rPr>
        <w:t xml:space="preserve">. </w:t>
      </w:r>
      <w:r w:rsidR="00B741CE">
        <w:rPr>
          <w:lang w:val="fr-FR"/>
        </w:rPr>
        <w:t xml:space="preserve">En pratique, la </w:t>
      </w:r>
      <w:r w:rsidR="00A55097">
        <w:rPr>
          <w:lang w:val="fr-FR"/>
        </w:rPr>
        <w:t xml:space="preserve">métrique </w:t>
      </w:r>
      <w:r w:rsidR="00747E6E">
        <w:rPr>
          <w:lang w:val="fr-FR"/>
        </w:rPr>
        <w:t xml:space="preserve">qui </w:t>
      </w:r>
      <w:r w:rsidR="00A46477">
        <w:rPr>
          <w:lang w:val="fr-FR"/>
        </w:rPr>
        <w:t xml:space="preserve">devrait </w:t>
      </w:r>
      <w:r w:rsidR="00747E6E">
        <w:rPr>
          <w:lang w:val="fr-FR"/>
        </w:rPr>
        <w:t xml:space="preserve">servir à évaluer </w:t>
      </w:r>
      <w:r w:rsidR="00A55097">
        <w:rPr>
          <w:lang w:val="fr-FR"/>
        </w:rPr>
        <w:t xml:space="preserve">l’objectif de 500 000 </w:t>
      </w:r>
      <w:r w:rsidR="00B741CE">
        <w:rPr>
          <w:lang w:val="fr-FR"/>
        </w:rPr>
        <w:lastRenderedPageBreak/>
        <w:t>rénovation</w:t>
      </w:r>
      <w:r w:rsidR="00A55097">
        <w:rPr>
          <w:lang w:val="fr-FR"/>
        </w:rPr>
        <w:t>s</w:t>
      </w:r>
      <w:r w:rsidR="00B741CE">
        <w:rPr>
          <w:lang w:val="fr-FR"/>
        </w:rPr>
        <w:t xml:space="preserve"> énergétique</w:t>
      </w:r>
      <w:r w:rsidR="00A55097">
        <w:rPr>
          <w:lang w:val="fr-FR"/>
        </w:rPr>
        <w:t>s</w:t>
      </w:r>
      <w:r w:rsidR="00B741CE">
        <w:rPr>
          <w:lang w:val="fr-FR"/>
        </w:rPr>
        <w:t xml:space="preserve"> n’</w:t>
      </w:r>
      <w:r w:rsidR="00A55097">
        <w:rPr>
          <w:lang w:val="fr-FR"/>
        </w:rPr>
        <w:t>est définie</w:t>
      </w:r>
      <w:r w:rsidR="00B741CE">
        <w:rPr>
          <w:lang w:val="fr-FR"/>
        </w:rPr>
        <w:t xml:space="preserve"> nulle part</w:t>
      </w:r>
      <w:r w:rsidR="003C2C70">
        <w:rPr>
          <w:lang w:val="fr-FR"/>
        </w:rPr>
        <w:t xml:space="preserve">, rendant </w:t>
      </w:r>
      <w:r w:rsidR="00A55097">
        <w:rPr>
          <w:lang w:val="fr-FR"/>
        </w:rPr>
        <w:t>l’</w:t>
      </w:r>
      <w:r w:rsidR="00D95F27" w:rsidRPr="00D95F27">
        <w:rPr>
          <w:lang w:val="fr-FR"/>
        </w:rPr>
        <w:t xml:space="preserve">évaluation de </w:t>
      </w:r>
      <w:r w:rsidR="00A55097">
        <w:rPr>
          <w:lang w:val="fr-FR"/>
        </w:rPr>
        <w:t xml:space="preserve">l’objectif </w:t>
      </w:r>
      <w:r w:rsidR="00D95F27" w:rsidRPr="00D95F27">
        <w:rPr>
          <w:lang w:val="fr-FR"/>
        </w:rPr>
        <w:t xml:space="preserve">2 </w:t>
      </w:r>
      <w:r w:rsidR="00D11A81">
        <w:rPr>
          <w:lang w:val="fr-FR"/>
        </w:rPr>
        <w:t>impraticable</w:t>
      </w:r>
      <w:r w:rsidR="00D95F27" w:rsidRPr="00D95F27">
        <w:rPr>
          <w:lang w:val="fr-FR"/>
        </w:rPr>
        <w:t xml:space="preserve">. Quoi qu'il en soit, le nombre de rénovations augmente dans le scénario </w:t>
      </w:r>
      <w:r w:rsidR="008C5A46">
        <w:rPr>
          <w:lang w:val="fr-FR"/>
        </w:rPr>
        <w:t>TP</w:t>
      </w:r>
      <w:r w:rsidR="00D95F27" w:rsidRPr="00D95F27">
        <w:rPr>
          <w:lang w:val="fr-FR"/>
        </w:rPr>
        <w:t xml:space="preserve">+ et plus </w:t>
      </w:r>
      <w:r w:rsidR="00030A2B" w:rsidRPr="00D95F27">
        <w:rPr>
          <w:lang w:val="fr-FR"/>
        </w:rPr>
        <w:t xml:space="preserve">encore </w:t>
      </w:r>
      <w:r w:rsidR="00D95F27" w:rsidRPr="00D95F27">
        <w:rPr>
          <w:lang w:val="fr-FR"/>
        </w:rPr>
        <w:t xml:space="preserve">dans le scénario </w:t>
      </w:r>
      <w:r w:rsidR="008C5A46">
        <w:rPr>
          <w:lang w:val="fr-FR"/>
        </w:rPr>
        <w:t>TP</w:t>
      </w:r>
      <w:r w:rsidR="00D95F27" w:rsidRPr="00D95F27">
        <w:rPr>
          <w:lang w:val="fr-FR"/>
        </w:rPr>
        <w:t>-</w:t>
      </w:r>
      <w:r w:rsidR="008C5A46">
        <w:rPr>
          <w:lang w:val="fr-FR"/>
        </w:rPr>
        <w:t>DPL</w:t>
      </w:r>
      <w:r w:rsidR="00D95F27" w:rsidRPr="00D95F27">
        <w:rPr>
          <w:lang w:val="fr-FR"/>
        </w:rPr>
        <w:t xml:space="preserve">. Étant donné que ces deux scénarios </w:t>
      </w:r>
      <w:r w:rsidR="00030A2B">
        <w:rPr>
          <w:lang w:val="fr-FR"/>
        </w:rPr>
        <w:t xml:space="preserve">génèrent des économies d’énergie comparables </w:t>
      </w:r>
      <w:r w:rsidR="00357144">
        <w:rPr>
          <w:lang w:val="fr-FR"/>
        </w:rPr>
        <w:t>(cf. Figure 3</w:t>
      </w:r>
      <w:r w:rsidR="00D95F27" w:rsidRPr="00D95F27">
        <w:rPr>
          <w:lang w:val="fr-FR"/>
        </w:rPr>
        <w:t xml:space="preserve">), </w:t>
      </w:r>
      <w:r w:rsidR="003A5068">
        <w:rPr>
          <w:lang w:val="fr-FR"/>
        </w:rPr>
        <w:t xml:space="preserve">la différence observée sur le nombre de rénovations indique que </w:t>
      </w:r>
      <w:r w:rsidR="00D95F27" w:rsidRPr="00D95F27">
        <w:rPr>
          <w:lang w:val="fr-FR"/>
        </w:rPr>
        <w:t xml:space="preserve">le scénario </w:t>
      </w:r>
      <w:r w:rsidR="008C5A46">
        <w:rPr>
          <w:lang w:val="fr-FR"/>
        </w:rPr>
        <w:t>TP</w:t>
      </w:r>
      <w:r w:rsidR="00D95F27" w:rsidRPr="00D95F27">
        <w:rPr>
          <w:lang w:val="fr-FR"/>
        </w:rPr>
        <w:t xml:space="preserve"> </w:t>
      </w:r>
      <w:r w:rsidR="003A5068">
        <w:rPr>
          <w:lang w:val="fr-FR"/>
        </w:rPr>
        <w:t xml:space="preserve">agit principalement sur la marge </w:t>
      </w:r>
      <w:r w:rsidR="00D95F27" w:rsidRPr="00D95F27">
        <w:rPr>
          <w:lang w:val="fr-FR"/>
        </w:rPr>
        <w:t>intensive d</w:t>
      </w:r>
      <w:r w:rsidR="003A5068">
        <w:rPr>
          <w:lang w:val="fr-FR"/>
        </w:rPr>
        <w:t>’</w:t>
      </w:r>
      <w:r w:rsidR="00D95F27" w:rsidRPr="00D95F27">
        <w:rPr>
          <w:lang w:val="fr-FR"/>
        </w:rPr>
        <w:t>investissement</w:t>
      </w:r>
      <w:r w:rsidR="003A5068">
        <w:rPr>
          <w:lang w:val="fr-FR"/>
        </w:rPr>
        <w:t xml:space="preserve"> alors que le scénario TP-DPL agit davantage sur la marge extensive.</w:t>
      </w:r>
    </w:p>
    <w:p w14:paraId="709EC3F9" w14:textId="556042E1" w:rsidR="00797C21" w:rsidRPr="00C912D0" w:rsidRDefault="00CF63DC" w:rsidP="00797C21">
      <w:pPr>
        <w:keepNext/>
        <w:jc w:val="center"/>
        <w:rPr>
          <w:lang w:val="en-GB"/>
        </w:rPr>
      </w:pPr>
      <w:r>
        <w:rPr>
          <w:noProof/>
        </w:rPr>
        <w:drawing>
          <wp:inline distT="0" distB="0" distL="0" distR="0" wp14:anchorId="68F287FB" wp14:editId="3B5784A5">
            <wp:extent cx="5377542" cy="2688771"/>
            <wp:effectExtent l="0" t="0" r="0" b="0"/>
            <wp:docPr id="49" name="Image 49" descr="C:\Users\Admin\AppData\Local\Temp\PresentationNbRen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PresentationNbReno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5000" cy="2692500"/>
                    </a:xfrm>
                    <a:prstGeom prst="rect">
                      <a:avLst/>
                    </a:prstGeom>
                    <a:noFill/>
                    <a:ln>
                      <a:noFill/>
                    </a:ln>
                  </pic:spPr>
                </pic:pic>
              </a:graphicData>
            </a:graphic>
          </wp:inline>
        </w:drawing>
      </w:r>
    </w:p>
    <w:p w14:paraId="15D10CFD" w14:textId="4FCBBA57" w:rsidR="00797C21" w:rsidRPr="00CA3302" w:rsidRDefault="00797C21" w:rsidP="00797C21">
      <w:pPr>
        <w:pStyle w:val="Lgende"/>
        <w:jc w:val="center"/>
        <w:rPr>
          <w:lang w:val="fr-FR"/>
        </w:rPr>
      </w:pPr>
      <w:r w:rsidRPr="00CA3302">
        <w:rPr>
          <w:lang w:val="fr-FR"/>
        </w:rPr>
        <w:t xml:space="preserve">Figure </w:t>
      </w:r>
      <w:r w:rsidR="005771E8" w:rsidRPr="00C912D0">
        <w:rPr>
          <w:lang w:val="en-GB"/>
        </w:rPr>
        <w:fldChar w:fldCharType="begin"/>
      </w:r>
      <w:r w:rsidR="005771E8" w:rsidRPr="00CA3302">
        <w:rPr>
          <w:lang w:val="fr-FR"/>
        </w:rPr>
        <w:instrText xml:space="preserve"> SEQ Figure \* ARABIC </w:instrText>
      </w:r>
      <w:r w:rsidR="005771E8" w:rsidRPr="00C912D0">
        <w:rPr>
          <w:lang w:val="en-GB"/>
        </w:rPr>
        <w:fldChar w:fldCharType="separate"/>
      </w:r>
      <w:r w:rsidR="000D3843">
        <w:rPr>
          <w:noProof/>
          <w:lang w:val="fr-FR"/>
        </w:rPr>
        <w:t>5</w:t>
      </w:r>
      <w:r w:rsidR="005771E8" w:rsidRPr="00C912D0">
        <w:rPr>
          <w:noProof/>
          <w:lang w:val="en-GB"/>
        </w:rPr>
        <w:fldChar w:fldCharType="end"/>
      </w:r>
      <w:r w:rsidRPr="00CA3302">
        <w:rPr>
          <w:lang w:val="fr-FR"/>
        </w:rPr>
        <w:t xml:space="preserve">: </w:t>
      </w:r>
      <w:r w:rsidR="00D971D4">
        <w:rPr>
          <w:lang w:val="fr-FR"/>
        </w:rPr>
        <w:t>Dynamique de rénovation énergétique</w:t>
      </w:r>
    </w:p>
    <w:p w14:paraId="31795F9A" w14:textId="77777777" w:rsidR="001D64F4" w:rsidRPr="004F1202" w:rsidRDefault="00D43966" w:rsidP="00D11A81">
      <w:pPr>
        <w:keepNext/>
        <w:rPr>
          <w:lang w:val="fr-FR"/>
        </w:rPr>
      </w:pPr>
      <w:r w:rsidRPr="004F1202">
        <w:rPr>
          <w:lang w:val="fr-FR"/>
        </w:rPr>
        <w:lastRenderedPageBreak/>
        <w:t>L’</w:t>
      </w:r>
      <w:r w:rsidR="00D95F27" w:rsidRPr="004F1202">
        <w:rPr>
          <w:lang w:val="fr-FR"/>
        </w:rPr>
        <w:t xml:space="preserve">évolution </w:t>
      </w:r>
      <w:r w:rsidRPr="004F1202">
        <w:rPr>
          <w:lang w:val="fr-FR"/>
        </w:rPr>
        <w:t xml:space="preserve">de la performance énergétique des </w:t>
      </w:r>
      <w:r w:rsidR="00D95F27" w:rsidRPr="004F1202">
        <w:rPr>
          <w:lang w:val="fr-FR"/>
        </w:rPr>
        <w:t>logements</w:t>
      </w:r>
      <w:r w:rsidRPr="004F1202">
        <w:rPr>
          <w:lang w:val="fr-FR"/>
        </w:rPr>
        <w:t xml:space="preserve"> est décrite </w:t>
      </w:r>
      <w:r w:rsidR="00D95F27" w:rsidRPr="004F1202">
        <w:rPr>
          <w:lang w:val="fr-FR"/>
        </w:rPr>
        <w:t xml:space="preserve">à la </w:t>
      </w:r>
      <w:r w:rsidRPr="004F1202">
        <w:rPr>
          <w:lang w:val="fr-FR"/>
        </w:rPr>
        <w:t>F</w:t>
      </w:r>
      <w:r w:rsidR="00F31B58" w:rsidRPr="004F1202">
        <w:rPr>
          <w:lang w:val="fr-FR"/>
        </w:rPr>
        <w:t>igure 6</w:t>
      </w:r>
      <w:r w:rsidR="00D95F27" w:rsidRPr="004F1202">
        <w:rPr>
          <w:lang w:val="fr-FR"/>
        </w:rPr>
        <w:t>. Les étiquettes G et F</w:t>
      </w:r>
      <w:r w:rsidRPr="004F1202">
        <w:rPr>
          <w:lang w:val="fr-FR"/>
        </w:rPr>
        <w:t xml:space="preserve">, généralement considérées comme des « passoires thermiques », </w:t>
      </w:r>
      <w:r w:rsidR="00D95F27" w:rsidRPr="004F1202">
        <w:rPr>
          <w:lang w:val="fr-FR"/>
        </w:rPr>
        <w:t xml:space="preserve">suivent une évolution très similaire dans les scénarios ZP, </w:t>
      </w:r>
      <w:r w:rsidR="008C5A46" w:rsidRPr="004F1202">
        <w:rPr>
          <w:lang w:val="fr-FR"/>
        </w:rPr>
        <w:t>TP</w:t>
      </w:r>
      <w:r w:rsidR="00D95F27" w:rsidRPr="004F1202">
        <w:rPr>
          <w:lang w:val="fr-FR"/>
        </w:rPr>
        <w:t xml:space="preserve"> et </w:t>
      </w:r>
      <w:r w:rsidR="008C5A46" w:rsidRPr="004F1202">
        <w:rPr>
          <w:lang w:val="fr-FR"/>
        </w:rPr>
        <w:t>TP</w:t>
      </w:r>
      <w:r w:rsidR="00D95F27" w:rsidRPr="004F1202">
        <w:rPr>
          <w:lang w:val="fr-FR"/>
        </w:rPr>
        <w:t>+. Leur</w:t>
      </w:r>
      <w:r w:rsidRPr="004F1202">
        <w:rPr>
          <w:lang w:val="fr-FR"/>
        </w:rPr>
        <w:t xml:space="preserve">s effectifs </w:t>
      </w:r>
      <w:r w:rsidR="00D95F27" w:rsidRPr="004F1202">
        <w:rPr>
          <w:lang w:val="fr-FR"/>
        </w:rPr>
        <w:t>diminue</w:t>
      </w:r>
      <w:r w:rsidRPr="004F1202">
        <w:rPr>
          <w:lang w:val="fr-FR"/>
        </w:rPr>
        <w:t xml:space="preserve">nt </w:t>
      </w:r>
      <w:r w:rsidR="00D95F27" w:rsidRPr="004F1202">
        <w:rPr>
          <w:lang w:val="fr-FR"/>
        </w:rPr>
        <w:t xml:space="preserve">de 75 % </w:t>
      </w:r>
      <w:r w:rsidRPr="004F1202">
        <w:rPr>
          <w:lang w:val="fr-FR"/>
        </w:rPr>
        <w:t xml:space="preserve">entre 2012 et </w:t>
      </w:r>
      <w:r w:rsidR="00D95F27" w:rsidRPr="004F1202">
        <w:rPr>
          <w:lang w:val="fr-FR"/>
        </w:rPr>
        <w:t>2025</w:t>
      </w:r>
      <w:r w:rsidRPr="004F1202">
        <w:rPr>
          <w:lang w:val="fr-FR"/>
        </w:rPr>
        <w:t xml:space="preserve"> et plus lentement par la suite</w:t>
      </w:r>
      <w:r w:rsidR="00D95F27" w:rsidRPr="004F1202">
        <w:rPr>
          <w:lang w:val="fr-FR"/>
        </w:rPr>
        <w:t>. L</w:t>
      </w:r>
      <w:r w:rsidRPr="004F1202">
        <w:rPr>
          <w:lang w:val="fr-FR"/>
        </w:rPr>
        <w:t>’objectif 3, qui prévoit l’</w:t>
      </w:r>
      <w:r w:rsidR="00D95F27" w:rsidRPr="004F1202">
        <w:rPr>
          <w:lang w:val="fr-FR"/>
        </w:rPr>
        <w:t>élimination de ces étiquettes d</w:t>
      </w:r>
      <w:r w:rsidRPr="004F1202">
        <w:rPr>
          <w:lang w:val="fr-FR"/>
        </w:rPr>
        <w:t>’</w:t>
      </w:r>
      <w:r w:rsidR="00D95F27" w:rsidRPr="004F1202">
        <w:rPr>
          <w:lang w:val="fr-FR"/>
        </w:rPr>
        <w:t xml:space="preserve">ici 2025, semble donc hors </w:t>
      </w:r>
      <w:r w:rsidR="005F055D" w:rsidRPr="004F1202">
        <w:rPr>
          <w:lang w:val="fr-FR"/>
        </w:rPr>
        <w:t>d’atteinte</w:t>
      </w:r>
      <w:r w:rsidR="00D95F27" w:rsidRPr="004F1202">
        <w:rPr>
          <w:lang w:val="fr-FR"/>
        </w:rPr>
        <w:t xml:space="preserve">. </w:t>
      </w:r>
      <w:r w:rsidR="00D8622E" w:rsidRPr="004F1202">
        <w:rPr>
          <w:lang w:val="fr-FR"/>
        </w:rPr>
        <w:t xml:space="preserve">Si la résolution du </w:t>
      </w:r>
      <w:r w:rsidR="00D95F27" w:rsidRPr="004F1202">
        <w:rPr>
          <w:lang w:val="fr-FR"/>
        </w:rPr>
        <w:t>dilemme propriétaire-locataire (</w:t>
      </w:r>
      <w:r w:rsidR="008C5A46" w:rsidRPr="004F1202">
        <w:rPr>
          <w:lang w:val="fr-FR"/>
        </w:rPr>
        <w:t>TP</w:t>
      </w:r>
      <w:r w:rsidR="00D95F27" w:rsidRPr="004F1202">
        <w:rPr>
          <w:lang w:val="fr-FR"/>
        </w:rPr>
        <w:t>-</w:t>
      </w:r>
      <w:r w:rsidR="008C5A46" w:rsidRPr="004F1202">
        <w:rPr>
          <w:lang w:val="fr-FR"/>
        </w:rPr>
        <w:t>DPL</w:t>
      </w:r>
      <w:r w:rsidR="00D95F27" w:rsidRPr="004F1202">
        <w:rPr>
          <w:lang w:val="fr-FR"/>
        </w:rPr>
        <w:t xml:space="preserve">) </w:t>
      </w:r>
      <w:r w:rsidR="00D8622E" w:rsidRPr="004F1202">
        <w:rPr>
          <w:lang w:val="fr-FR"/>
        </w:rPr>
        <w:t xml:space="preserve">induit de nets progrès par rapport à cet objectif, la </w:t>
      </w:r>
      <w:r w:rsidR="00D95F27" w:rsidRPr="004F1202">
        <w:rPr>
          <w:lang w:val="fr-FR"/>
        </w:rPr>
        <w:t xml:space="preserve">quasi-disparition </w:t>
      </w:r>
      <w:r w:rsidR="00D8622E" w:rsidRPr="004F1202">
        <w:rPr>
          <w:lang w:val="fr-FR"/>
        </w:rPr>
        <w:t xml:space="preserve">des étiquettes F et G ne semble pas envisageable avant </w:t>
      </w:r>
      <w:r w:rsidR="00D95F27" w:rsidRPr="004F1202">
        <w:rPr>
          <w:lang w:val="fr-FR"/>
        </w:rPr>
        <w:t>2040</w:t>
      </w:r>
      <w:r w:rsidR="00086522" w:rsidRPr="004F1202">
        <w:rPr>
          <w:lang w:val="fr-FR"/>
        </w:rPr>
        <w:footnoteReference w:id="9"/>
      </w:r>
      <w:r w:rsidR="006D101E" w:rsidRPr="004F1202">
        <w:rPr>
          <w:lang w:val="fr-FR"/>
        </w:rPr>
        <w:t>.  A l’</w:t>
      </w:r>
      <w:r w:rsidR="00D95F27" w:rsidRPr="004F1202">
        <w:rPr>
          <w:lang w:val="fr-FR"/>
        </w:rPr>
        <w:t>autre extrémité du spectre</w:t>
      </w:r>
      <w:r w:rsidR="00967183" w:rsidRPr="004F1202">
        <w:rPr>
          <w:lang w:val="fr-FR"/>
        </w:rPr>
        <w:t xml:space="preserve">, </w:t>
      </w:r>
      <w:r w:rsidR="00D95F27" w:rsidRPr="004F1202">
        <w:rPr>
          <w:lang w:val="fr-FR"/>
        </w:rPr>
        <w:t>le</w:t>
      </w:r>
      <w:r w:rsidR="00967183" w:rsidRPr="004F1202">
        <w:rPr>
          <w:lang w:val="fr-FR"/>
        </w:rPr>
        <w:t xml:space="preserve">s </w:t>
      </w:r>
      <w:r w:rsidR="00D95F27" w:rsidRPr="004F1202">
        <w:rPr>
          <w:lang w:val="fr-FR"/>
        </w:rPr>
        <w:t xml:space="preserve">logements les plus </w:t>
      </w:r>
      <w:r w:rsidR="00967183" w:rsidRPr="004F1202">
        <w:rPr>
          <w:lang w:val="fr-FR"/>
        </w:rPr>
        <w:t xml:space="preserve">performants – étiquettes </w:t>
      </w:r>
      <w:r w:rsidR="00D95F27" w:rsidRPr="004F1202">
        <w:rPr>
          <w:lang w:val="fr-FR"/>
        </w:rPr>
        <w:t xml:space="preserve">B et A </w:t>
      </w:r>
      <w:r w:rsidR="00967183" w:rsidRPr="004F1202">
        <w:rPr>
          <w:lang w:val="fr-FR"/>
        </w:rPr>
        <w:t xml:space="preserve">du stock pré-2012 et BBC et BEPOS du stock post-2012 – représente, </w:t>
      </w:r>
      <w:r w:rsidR="00D95F27" w:rsidRPr="004F1202">
        <w:rPr>
          <w:lang w:val="fr-FR"/>
        </w:rPr>
        <w:t xml:space="preserve">selon le scénario considéré, </w:t>
      </w:r>
      <w:r w:rsidR="00967183" w:rsidRPr="004F1202">
        <w:rPr>
          <w:lang w:val="fr-FR"/>
        </w:rPr>
        <w:t>entre</w:t>
      </w:r>
      <w:r w:rsidR="00D95F27" w:rsidRPr="004F1202">
        <w:rPr>
          <w:lang w:val="fr-FR"/>
        </w:rPr>
        <w:t xml:space="preserve"> 50 </w:t>
      </w:r>
      <w:r w:rsidR="00967183" w:rsidRPr="004F1202">
        <w:rPr>
          <w:lang w:val="fr-FR"/>
        </w:rPr>
        <w:t xml:space="preserve">et </w:t>
      </w:r>
      <w:r w:rsidR="00D95F27" w:rsidRPr="004F1202">
        <w:rPr>
          <w:lang w:val="fr-FR"/>
        </w:rPr>
        <w:t xml:space="preserve">70% du parc total </w:t>
      </w:r>
      <w:r w:rsidR="00967183" w:rsidRPr="004F1202">
        <w:rPr>
          <w:lang w:val="fr-FR"/>
        </w:rPr>
        <w:t xml:space="preserve">de </w:t>
      </w:r>
      <w:r w:rsidR="00D95F27" w:rsidRPr="004F1202">
        <w:rPr>
          <w:lang w:val="fr-FR"/>
        </w:rPr>
        <w:t xml:space="preserve">2050. </w:t>
      </w:r>
      <w:r w:rsidR="002148F7" w:rsidRPr="004F1202">
        <w:rPr>
          <w:lang w:val="fr-FR"/>
        </w:rPr>
        <w:t>Ces chiffres sont nettement en-deçà de l’</w:t>
      </w:r>
      <w:r w:rsidR="00D95F27" w:rsidRPr="004F1202">
        <w:rPr>
          <w:lang w:val="fr-FR"/>
        </w:rPr>
        <w:t>objectif de 100 % (objectif 4).</w:t>
      </w:r>
    </w:p>
    <w:p w14:paraId="6B83145C" w14:textId="18556253" w:rsidR="000752E4" w:rsidRPr="005E0E66" w:rsidRDefault="00CF63DC" w:rsidP="003D3BDC">
      <w:pPr>
        <w:keepNext/>
        <w:jc w:val="both"/>
        <w:rPr>
          <w:lang w:val="fr-FR"/>
        </w:rPr>
      </w:pPr>
      <w:r>
        <w:rPr>
          <w:noProof/>
        </w:rPr>
        <w:drawing>
          <wp:inline distT="0" distB="0" distL="0" distR="0" wp14:anchorId="181D8E53" wp14:editId="40E9CCBC">
            <wp:extent cx="5165271" cy="2582636"/>
            <wp:effectExtent l="0" t="0" r="0" b="8255"/>
            <wp:docPr id="52" name="Image 52" descr="C:\Users\Admin\AppData\Local\Temp\PresentationEvol_Stock_Agreg_exi_co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PresentationEvol_Stock_Agreg_exi_col-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2991" cy="2586496"/>
                    </a:xfrm>
                    <a:prstGeom prst="rect">
                      <a:avLst/>
                    </a:prstGeom>
                    <a:noFill/>
                    <a:ln>
                      <a:noFill/>
                    </a:ln>
                  </pic:spPr>
                </pic:pic>
              </a:graphicData>
            </a:graphic>
          </wp:inline>
        </w:drawing>
      </w:r>
    </w:p>
    <w:p w14:paraId="1EB0EB9C" w14:textId="1F8E9DA7" w:rsidR="000752E4" w:rsidRPr="001F4646" w:rsidRDefault="000752E4" w:rsidP="000752E4">
      <w:pPr>
        <w:pStyle w:val="Lgende"/>
        <w:jc w:val="center"/>
        <w:rPr>
          <w:lang w:val="fr-FR"/>
        </w:rPr>
      </w:pPr>
      <w:r w:rsidRPr="001F4646">
        <w:rPr>
          <w:lang w:val="fr-FR"/>
        </w:rPr>
        <w:t xml:space="preserve">Figure </w:t>
      </w:r>
      <w:r w:rsidR="005771E8" w:rsidRPr="00C912D0">
        <w:rPr>
          <w:lang w:val="en-GB"/>
        </w:rPr>
        <w:fldChar w:fldCharType="begin"/>
      </w:r>
      <w:r w:rsidR="005771E8" w:rsidRPr="001F4646">
        <w:rPr>
          <w:lang w:val="fr-FR"/>
        </w:rPr>
        <w:instrText xml:space="preserve"> SEQ Figure \* ARABIC </w:instrText>
      </w:r>
      <w:r w:rsidR="005771E8" w:rsidRPr="00C912D0">
        <w:rPr>
          <w:lang w:val="en-GB"/>
        </w:rPr>
        <w:fldChar w:fldCharType="separate"/>
      </w:r>
      <w:r w:rsidR="000D3843">
        <w:rPr>
          <w:noProof/>
          <w:lang w:val="fr-FR"/>
        </w:rPr>
        <w:t>6</w:t>
      </w:r>
      <w:r w:rsidR="005771E8" w:rsidRPr="00C912D0">
        <w:rPr>
          <w:noProof/>
          <w:lang w:val="en-GB"/>
        </w:rPr>
        <w:fldChar w:fldCharType="end"/>
      </w:r>
      <w:r w:rsidRPr="001F4646">
        <w:rPr>
          <w:lang w:val="fr-FR"/>
        </w:rPr>
        <w:t xml:space="preserve">: </w:t>
      </w:r>
      <w:r w:rsidR="001F4646" w:rsidRPr="001F4646">
        <w:rPr>
          <w:lang w:val="fr-FR"/>
        </w:rPr>
        <w:t>Evolution de la performance énergétique du parc de logements</w:t>
      </w:r>
    </w:p>
    <w:p w14:paraId="044B7F97" w14:textId="7F810EB0" w:rsidR="00E52990" w:rsidRPr="00D95F27" w:rsidRDefault="00F31B58" w:rsidP="00007DD2">
      <w:pPr>
        <w:rPr>
          <w:lang w:val="fr-FR"/>
        </w:rPr>
      </w:pPr>
      <w:r>
        <w:rPr>
          <w:lang w:val="fr-FR"/>
        </w:rPr>
        <w:t>La F</w:t>
      </w:r>
      <w:r w:rsidR="00D95F27" w:rsidRPr="00D95F27">
        <w:rPr>
          <w:lang w:val="fr-FR"/>
        </w:rPr>
        <w:t>ig</w:t>
      </w:r>
      <w:r>
        <w:rPr>
          <w:lang w:val="fr-FR"/>
        </w:rPr>
        <w:t>ure 7</w:t>
      </w:r>
      <w:r w:rsidR="0000515B">
        <w:rPr>
          <w:lang w:val="fr-FR"/>
        </w:rPr>
        <w:t xml:space="preserve"> illustre l'évolution de l’</w:t>
      </w:r>
      <w:r w:rsidR="00D95F27" w:rsidRPr="00D95F27">
        <w:rPr>
          <w:lang w:val="fr-FR"/>
        </w:rPr>
        <w:t xml:space="preserve">indice </w:t>
      </w:r>
      <w:r w:rsidR="0000515B">
        <w:rPr>
          <w:lang w:val="fr-FR"/>
        </w:rPr>
        <w:t>de TEE</w:t>
      </w:r>
      <w:r w:rsidR="00FF363B">
        <w:rPr>
          <w:lang w:val="fr-FR"/>
        </w:rPr>
        <w:t>,</w:t>
      </w:r>
      <w:r w:rsidR="0000515B">
        <w:rPr>
          <w:lang w:val="fr-FR"/>
        </w:rPr>
        <w:t xml:space="preserve"> </w:t>
      </w:r>
      <w:r w:rsidR="00D95F27" w:rsidRPr="00D95F27">
        <w:rPr>
          <w:lang w:val="fr-FR"/>
        </w:rPr>
        <w:t xml:space="preserve">qui </w:t>
      </w:r>
      <w:r w:rsidR="0000515B">
        <w:rPr>
          <w:lang w:val="fr-FR"/>
        </w:rPr>
        <w:t xml:space="preserve">recense les </w:t>
      </w:r>
      <w:r w:rsidR="00D95F27" w:rsidRPr="00D95F27">
        <w:rPr>
          <w:lang w:val="fr-FR"/>
        </w:rPr>
        <w:t xml:space="preserve">ménages </w:t>
      </w:r>
      <w:r w:rsidR="0000515B">
        <w:rPr>
          <w:lang w:val="fr-FR"/>
        </w:rPr>
        <w:t>consacrant</w:t>
      </w:r>
      <w:r w:rsidR="00D95F27" w:rsidRPr="00D95F27">
        <w:rPr>
          <w:lang w:val="fr-FR"/>
        </w:rPr>
        <w:t xml:space="preserve"> plus de 10 % de leur revenu au chauffage. Ainsi mesurée, la précarité énerg</w:t>
      </w:r>
      <w:r w:rsidR="0000515B">
        <w:rPr>
          <w:lang w:val="fr-FR"/>
        </w:rPr>
        <w:t xml:space="preserve">étique diminue de deux tiers à l’horizon </w:t>
      </w:r>
      <w:r w:rsidR="00D95F27" w:rsidRPr="00D95F27">
        <w:rPr>
          <w:lang w:val="fr-FR"/>
        </w:rPr>
        <w:t xml:space="preserve">2050 dans le scénario ZP. Le scénario </w:t>
      </w:r>
      <w:r w:rsidR="008C5A46">
        <w:rPr>
          <w:lang w:val="fr-FR"/>
        </w:rPr>
        <w:t>TP</w:t>
      </w:r>
      <w:r w:rsidR="00D95F27" w:rsidRPr="00D95F27">
        <w:rPr>
          <w:lang w:val="fr-FR"/>
        </w:rPr>
        <w:t xml:space="preserve"> </w:t>
      </w:r>
      <w:r w:rsidR="0000515B">
        <w:rPr>
          <w:lang w:val="fr-FR"/>
        </w:rPr>
        <w:t>freine</w:t>
      </w:r>
      <w:r w:rsidR="00D95F27" w:rsidRPr="00D95F27">
        <w:rPr>
          <w:lang w:val="fr-FR"/>
        </w:rPr>
        <w:t xml:space="preserve"> ce processus, avec une réduction de seulement </w:t>
      </w:r>
      <w:r w:rsidR="0000515B" w:rsidRPr="00D95F27">
        <w:rPr>
          <w:lang w:val="fr-FR"/>
        </w:rPr>
        <w:t xml:space="preserve">7 % </w:t>
      </w:r>
      <w:r w:rsidR="0000515B">
        <w:rPr>
          <w:lang w:val="fr-FR"/>
        </w:rPr>
        <w:t xml:space="preserve">à l’horizon </w:t>
      </w:r>
      <w:r w:rsidR="00D95F27" w:rsidRPr="00D95F27">
        <w:rPr>
          <w:lang w:val="fr-FR"/>
        </w:rPr>
        <w:t xml:space="preserve">2020, </w:t>
      </w:r>
      <w:r w:rsidR="006F3381">
        <w:rPr>
          <w:lang w:val="fr-FR"/>
        </w:rPr>
        <w:t xml:space="preserve">valeur inférieure </w:t>
      </w:r>
      <w:r w:rsidR="00D95F27" w:rsidRPr="00D95F27">
        <w:rPr>
          <w:lang w:val="fr-FR"/>
        </w:rPr>
        <w:t xml:space="preserve">au seuil de 15 % de </w:t>
      </w:r>
      <w:r w:rsidR="006F3381">
        <w:rPr>
          <w:lang w:val="fr-FR"/>
        </w:rPr>
        <w:t xml:space="preserve">l’objectif </w:t>
      </w:r>
      <w:r w:rsidR="00D95F27" w:rsidRPr="00D95F27">
        <w:rPr>
          <w:lang w:val="fr-FR"/>
        </w:rPr>
        <w:t xml:space="preserve">5. En revanche, </w:t>
      </w:r>
      <w:r w:rsidR="00D006BA">
        <w:rPr>
          <w:lang w:val="fr-FR"/>
        </w:rPr>
        <w:t xml:space="preserve">le scénario </w:t>
      </w:r>
      <w:r w:rsidR="008C5A46">
        <w:rPr>
          <w:lang w:val="fr-FR"/>
        </w:rPr>
        <w:t>TP</w:t>
      </w:r>
      <w:r w:rsidR="00D95F27" w:rsidRPr="00D95F27">
        <w:rPr>
          <w:lang w:val="fr-FR"/>
        </w:rPr>
        <w:t xml:space="preserve">+ et, dans une plus large mesure, </w:t>
      </w:r>
      <w:r w:rsidR="008C5A46">
        <w:rPr>
          <w:lang w:val="fr-FR"/>
        </w:rPr>
        <w:t>TP</w:t>
      </w:r>
      <w:r w:rsidR="00D95F27" w:rsidRPr="00D95F27">
        <w:rPr>
          <w:lang w:val="fr-FR"/>
        </w:rPr>
        <w:t>-</w:t>
      </w:r>
      <w:r w:rsidR="008C5A46">
        <w:rPr>
          <w:lang w:val="fr-FR"/>
        </w:rPr>
        <w:t>DPL</w:t>
      </w:r>
      <w:r w:rsidR="00D006BA">
        <w:rPr>
          <w:lang w:val="fr-FR"/>
        </w:rPr>
        <w:t>, accélère</w:t>
      </w:r>
      <w:r w:rsidR="00323411">
        <w:rPr>
          <w:lang w:val="fr-FR"/>
        </w:rPr>
        <w:t>nt</w:t>
      </w:r>
      <w:r w:rsidR="00D95F27" w:rsidRPr="00D95F27">
        <w:rPr>
          <w:lang w:val="fr-FR"/>
        </w:rPr>
        <w:t xml:space="preserve"> le processus et permettent d</w:t>
      </w:r>
      <w:r w:rsidR="00323411">
        <w:rPr>
          <w:lang w:val="fr-FR"/>
        </w:rPr>
        <w:t>’</w:t>
      </w:r>
      <w:r w:rsidR="00D95F27" w:rsidRPr="00D95F27">
        <w:rPr>
          <w:lang w:val="fr-FR"/>
        </w:rPr>
        <w:t xml:space="preserve">atteindre </w:t>
      </w:r>
      <w:r w:rsidR="00323411">
        <w:rPr>
          <w:lang w:val="fr-FR"/>
        </w:rPr>
        <w:t>l’</w:t>
      </w:r>
      <w:r w:rsidR="00D95F27" w:rsidRPr="00D95F27">
        <w:rPr>
          <w:lang w:val="fr-FR"/>
        </w:rPr>
        <w:t xml:space="preserve">objectif. </w:t>
      </w:r>
      <w:r w:rsidR="00D7386C">
        <w:rPr>
          <w:lang w:val="fr-FR"/>
        </w:rPr>
        <w:t xml:space="preserve">Dans la mesure où l’indicateur TEE prend en compte les </w:t>
      </w:r>
      <w:r w:rsidR="00D95F27" w:rsidRPr="00D95F27">
        <w:rPr>
          <w:lang w:val="fr-FR"/>
        </w:rPr>
        <w:t xml:space="preserve">dépenses </w:t>
      </w:r>
      <w:r w:rsidR="00D7386C">
        <w:rPr>
          <w:lang w:val="fr-FR"/>
        </w:rPr>
        <w:t>d’</w:t>
      </w:r>
      <w:r w:rsidR="00D95F27" w:rsidRPr="00D95F27">
        <w:rPr>
          <w:lang w:val="fr-FR"/>
        </w:rPr>
        <w:t>énerg</w:t>
      </w:r>
      <w:r w:rsidR="00D7386C">
        <w:rPr>
          <w:lang w:val="fr-FR"/>
        </w:rPr>
        <w:t>ie</w:t>
      </w:r>
      <w:r w:rsidR="00D95F27" w:rsidRPr="00D95F27">
        <w:rPr>
          <w:lang w:val="fr-FR"/>
        </w:rPr>
        <w:t xml:space="preserve">, la différence </w:t>
      </w:r>
      <w:r w:rsidR="000A588A">
        <w:rPr>
          <w:lang w:val="fr-FR"/>
        </w:rPr>
        <w:t xml:space="preserve">qu’il génère </w:t>
      </w:r>
      <w:r w:rsidR="00D95F27" w:rsidRPr="00D95F27">
        <w:rPr>
          <w:lang w:val="fr-FR"/>
        </w:rPr>
        <w:t xml:space="preserve">entre le scénario </w:t>
      </w:r>
      <w:r w:rsidR="008C5A46">
        <w:rPr>
          <w:lang w:val="fr-FR"/>
        </w:rPr>
        <w:t>TP</w:t>
      </w:r>
      <w:r w:rsidR="00D95F27" w:rsidRPr="00D95F27">
        <w:rPr>
          <w:lang w:val="fr-FR"/>
        </w:rPr>
        <w:t xml:space="preserve"> et </w:t>
      </w:r>
      <w:r w:rsidR="000A588A">
        <w:rPr>
          <w:lang w:val="fr-FR"/>
        </w:rPr>
        <w:t xml:space="preserve">les scénarios </w:t>
      </w:r>
      <w:r w:rsidR="008C5A46">
        <w:rPr>
          <w:lang w:val="fr-FR"/>
        </w:rPr>
        <w:t>TP</w:t>
      </w:r>
      <w:r w:rsidR="00D95F27" w:rsidRPr="00D95F27">
        <w:rPr>
          <w:lang w:val="fr-FR"/>
        </w:rPr>
        <w:t xml:space="preserve">+ </w:t>
      </w:r>
      <w:r w:rsidR="000A588A">
        <w:rPr>
          <w:lang w:val="fr-FR"/>
        </w:rPr>
        <w:t xml:space="preserve">et TP et </w:t>
      </w:r>
      <w:r w:rsidR="008C5A46">
        <w:rPr>
          <w:lang w:val="fr-FR"/>
        </w:rPr>
        <w:t>TP</w:t>
      </w:r>
      <w:r w:rsidR="00D95F27" w:rsidRPr="00D95F27">
        <w:rPr>
          <w:lang w:val="fr-FR"/>
        </w:rPr>
        <w:t>-</w:t>
      </w:r>
      <w:r w:rsidR="008C5A46">
        <w:rPr>
          <w:lang w:val="fr-FR"/>
        </w:rPr>
        <w:t>DPL</w:t>
      </w:r>
      <w:r w:rsidR="00D95F27" w:rsidRPr="00D95F27">
        <w:rPr>
          <w:lang w:val="fr-FR"/>
        </w:rPr>
        <w:t xml:space="preserve"> </w:t>
      </w:r>
      <w:r w:rsidR="000A588A">
        <w:rPr>
          <w:lang w:val="fr-FR"/>
        </w:rPr>
        <w:t>s’explique par des niveaux de subvention plus importants</w:t>
      </w:r>
      <w:r w:rsidR="00D95F27" w:rsidRPr="00D95F27">
        <w:rPr>
          <w:lang w:val="fr-FR"/>
        </w:rPr>
        <w:t xml:space="preserve"> dans ce</w:t>
      </w:r>
      <w:r w:rsidR="000A588A">
        <w:rPr>
          <w:lang w:val="fr-FR"/>
        </w:rPr>
        <w:t>s</w:t>
      </w:r>
      <w:r w:rsidR="00D95F27" w:rsidRPr="00D95F27">
        <w:rPr>
          <w:lang w:val="fr-FR"/>
        </w:rPr>
        <w:t xml:space="preserve"> dernier</w:t>
      </w:r>
      <w:r w:rsidR="000A588A">
        <w:rPr>
          <w:lang w:val="fr-FR"/>
        </w:rPr>
        <w:t>s</w:t>
      </w:r>
      <w:r w:rsidR="00D95F27" w:rsidRPr="00D95F27">
        <w:rPr>
          <w:lang w:val="fr-FR"/>
        </w:rPr>
        <w:t xml:space="preserve"> cas</w:t>
      </w:r>
      <w:r w:rsidR="008C5A46">
        <w:rPr>
          <w:rStyle w:val="Appelnotedebasdep"/>
          <w:lang w:val="fr-FR"/>
        </w:rPr>
        <w:footnoteReference w:id="10"/>
      </w:r>
      <w:r w:rsidR="00D95F27" w:rsidRPr="00D95F27">
        <w:rPr>
          <w:lang w:val="fr-FR"/>
        </w:rPr>
        <w:t>.  L</w:t>
      </w:r>
      <w:r w:rsidR="004D2B37">
        <w:rPr>
          <w:lang w:val="fr-FR"/>
        </w:rPr>
        <w:t xml:space="preserve">a réduction plus lente observée dans le </w:t>
      </w:r>
      <w:r w:rsidR="00D95F27" w:rsidRPr="00D95F27">
        <w:rPr>
          <w:lang w:val="fr-FR"/>
        </w:rPr>
        <w:t xml:space="preserve">scénario </w:t>
      </w:r>
      <w:r w:rsidR="008C5A46">
        <w:rPr>
          <w:lang w:val="fr-FR"/>
        </w:rPr>
        <w:t>TP</w:t>
      </w:r>
      <w:r w:rsidR="00D95F27" w:rsidRPr="00D95F27">
        <w:rPr>
          <w:lang w:val="fr-FR"/>
        </w:rPr>
        <w:t xml:space="preserve"> peut donc être attribué</w:t>
      </w:r>
      <w:r w:rsidR="004D2B37">
        <w:rPr>
          <w:lang w:val="fr-FR"/>
        </w:rPr>
        <w:t>e</w:t>
      </w:r>
      <w:r w:rsidR="00D95F27" w:rsidRPr="00D95F27">
        <w:rPr>
          <w:lang w:val="fr-FR"/>
        </w:rPr>
        <w:t xml:space="preserve"> au poids relativement plus important de la taxe carbone dans le </w:t>
      </w:r>
      <w:r w:rsidR="004D2B37">
        <w:rPr>
          <w:lang w:val="fr-FR"/>
        </w:rPr>
        <w:t>bouquet de politiques</w:t>
      </w:r>
      <w:r w:rsidR="00D95F27" w:rsidRPr="00D95F27">
        <w:rPr>
          <w:lang w:val="fr-FR"/>
        </w:rPr>
        <w:t xml:space="preserve">. Ce résultat </w:t>
      </w:r>
      <w:r w:rsidR="00271216">
        <w:rPr>
          <w:lang w:val="fr-FR"/>
        </w:rPr>
        <w:t xml:space="preserve">confirme l’effet </w:t>
      </w:r>
      <w:r w:rsidR="00D95F27" w:rsidRPr="00D95F27">
        <w:rPr>
          <w:lang w:val="fr-FR"/>
        </w:rPr>
        <w:t xml:space="preserve">régressif </w:t>
      </w:r>
      <w:r w:rsidR="00271216">
        <w:rPr>
          <w:lang w:val="fr-FR"/>
        </w:rPr>
        <w:t xml:space="preserve">d’une taxe carbone non recyclée aux ménages, </w:t>
      </w:r>
      <w:r w:rsidR="00D95F27" w:rsidRPr="00D95F27">
        <w:rPr>
          <w:lang w:val="fr-FR"/>
        </w:rPr>
        <w:t xml:space="preserve">bien documenté </w:t>
      </w:r>
      <w:r w:rsidR="00271216">
        <w:rPr>
          <w:lang w:val="fr-FR"/>
        </w:rPr>
        <w:t xml:space="preserve">par ailleurs </w:t>
      </w:r>
      <w:r w:rsidR="004B484A">
        <w:rPr>
          <w:lang w:val="fr-FR"/>
        </w:rPr>
        <w:t xml:space="preserve">(Combet et </w:t>
      </w:r>
      <w:proofErr w:type="gramStart"/>
      <w:r w:rsidR="004B484A">
        <w:rPr>
          <w:lang w:val="fr-FR"/>
        </w:rPr>
        <w:t>al.,</w:t>
      </w:r>
      <w:proofErr w:type="gramEnd"/>
      <w:r w:rsidR="004B484A">
        <w:rPr>
          <w:lang w:val="fr-FR"/>
        </w:rPr>
        <w:t xml:space="preserve"> 2010). L’</w:t>
      </w:r>
      <w:r w:rsidR="00D95F27" w:rsidRPr="00D95F27">
        <w:rPr>
          <w:lang w:val="fr-FR"/>
        </w:rPr>
        <w:t xml:space="preserve">effet </w:t>
      </w:r>
      <w:r w:rsidR="004B484A">
        <w:rPr>
          <w:lang w:val="fr-FR"/>
        </w:rPr>
        <w:t xml:space="preserve">régressif de la taxe carbone </w:t>
      </w:r>
      <w:r w:rsidR="00ED2E5F">
        <w:rPr>
          <w:lang w:val="fr-FR"/>
        </w:rPr>
        <w:t xml:space="preserve">s’annule lorsque </w:t>
      </w:r>
      <w:r w:rsidR="004B484A">
        <w:rPr>
          <w:lang w:val="fr-FR"/>
        </w:rPr>
        <w:t xml:space="preserve">celle-ci </w:t>
      </w:r>
      <w:r w:rsidR="00ED2E5F">
        <w:rPr>
          <w:lang w:val="fr-FR"/>
        </w:rPr>
        <w:t>s’accompagne</w:t>
      </w:r>
      <w:r w:rsidR="004B484A">
        <w:rPr>
          <w:lang w:val="fr-FR"/>
        </w:rPr>
        <w:t xml:space="preserve"> de </w:t>
      </w:r>
      <w:r w:rsidR="00D95F27" w:rsidRPr="00D95F27">
        <w:rPr>
          <w:lang w:val="fr-FR"/>
        </w:rPr>
        <w:t xml:space="preserve">subventions fixées à </w:t>
      </w:r>
      <w:r w:rsidR="004B484A">
        <w:rPr>
          <w:lang w:val="fr-FR"/>
        </w:rPr>
        <w:t xml:space="preserve">des </w:t>
      </w:r>
      <w:r w:rsidR="00D95F27" w:rsidRPr="00D95F27">
        <w:rPr>
          <w:lang w:val="fr-FR"/>
        </w:rPr>
        <w:t xml:space="preserve">taux suffisamment </w:t>
      </w:r>
      <w:r w:rsidR="004B484A">
        <w:rPr>
          <w:lang w:val="fr-FR"/>
        </w:rPr>
        <w:t xml:space="preserve">ambitieux </w:t>
      </w:r>
      <w:r w:rsidR="00D95F27" w:rsidRPr="00D95F27">
        <w:rPr>
          <w:lang w:val="fr-FR"/>
        </w:rPr>
        <w:t>(</w:t>
      </w:r>
      <w:r w:rsidR="008C5A46">
        <w:rPr>
          <w:lang w:val="fr-FR"/>
        </w:rPr>
        <w:t>TP</w:t>
      </w:r>
      <w:r w:rsidR="00D95F27" w:rsidRPr="00D95F27">
        <w:rPr>
          <w:lang w:val="fr-FR"/>
        </w:rPr>
        <w:t xml:space="preserve">+), ou </w:t>
      </w:r>
      <w:r w:rsidR="004B484A">
        <w:rPr>
          <w:lang w:val="fr-FR"/>
        </w:rPr>
        <w:t xml:space="preserve">étendues au parc locatif privé </w:t>
      </w:r>
      <w:r w:rsidR="00D95F27" w:rsidRPr="00D95F27">
        <w:rPr>
          <w:lang w:val="fr-FR"/>
        </w:rPr>
        <w:t>(</w:t>
      </w:r>
      <w:r w:rsidR="008C5A46">
        <w:rPr>
          <w:lang w:val="fr-FR"/>
        </w:rPr>
        <w:t>TP</w:t>
      </w:r>
      <w:r w:rsidR="00D95F27" w:rsidRPr="00D95F27">
        <w:rPr>
          <w:lang w:val="fr-FR"/>
        </w:rPr>
        <w:t>-</w:t>
      </w:r>
      <w:r w:rsidR="008C5A46">
        <w:rPr>
          <w:lang w:val="fr-FR"/>
        </w:rPr>
        <w:t>DPL</w:t>
      </w:r>
      <w:r w:rsidR="004B484A">
        <w:rPr>
          <w:lang w:val="fr-FR"/>
        </w:rPr>
        <w:t xml:space="preserve">), au point de </w:t>
      </w:r>
      <w:r w:rsidR="00941FD9">
        <w:rPr>
          <w:lang w:val="fr-FR"/>
        </w:rPr>
        <w:t>laisser entrevoir une</w:t>
      </w:r>
      <w:r w:rsidR="004B484A">
        <w:rPr>
          <w:lang w:val="fr-FR"/>
        </w:rPr>
        <w:t xml:space="preserve"> disparition de </w:t>
      </w:r>
      <w:r w:rsidR="00D95F27" w:rsidRPr="00D95F27">
        <w:rPr>
          <w:lang w:val="fr-FR"/>
        </w:rPr>
        <w:t xml:space="preserve">la précarité énergétique </w:t>
      </w:r>
      <w:r w:rsidR="004B484A">
        <w:rPr>
          <w:lang w:val="fr-FR"/>
        </w:rPr>
        <w:t xml:space="preserve">d’ici </w:t>
      </w:r>
      <w:r w:rsidR="00D95F27" w:rsidRPr="00D95F27">
        <w:rPr>
          <w:lang w:val="fr-FR"/>
        </w:rPr>
        <w:t xml:space="preserve">2050. Outre la </w:t>
      </w:r>
      <w:r w:rsidR="00ED2E5F">
        <w:rPr>
          <w:lang w:val="fr-FR"/>
        </w:rPr>
        <w:t xml:space="preserve">diminution de la part des </w:t>
      </w:r>
      <w:r w:rsidR="00ED2E5F">
        <w:rPr>
          <w:lang w:val="fr-FR"/>
        </w:rPr>
        <w:lastRenderedPageBreak/>
        <w:t>dépenses consacrée</w:t>
      </w:r>
      <w:r w:rsidR="000A41FF">
        <w:rPr>
          <w:lang w:val="fr-FR"/>
        </w:rPr>
        <w:t>s</w:t>
      </w:r>
      <w:r w:rsidR="00ED2E5F">
        <w:rPr>
          <w:lang w:val="fr-FR"/>
        </w:rPr>
        <w:t xml:space="preserve"> au chauffage, </w:t>
      </w:r>
      <w:r w:rsidR="00D95F27" w:rsidRPr="00D95F27">
        <w:rPr>
          <w:lang w:val="fr-FR"/>
        </w:rPr>
        <w:t>les niveaux de confort</w:t>
      </w:r>
      <w:r w:rsidR="00ED2E5F">
        <w:rPr>
          <w:lang w:val="fr-FR"/>
        </w:rPr>
        <w:t xml:space="preserve"> thermique</w:t>
      </w:r>
      <w:r w:rsidR="00D95F27" w:rsidRPr="00D95F27">
        <w:rPr>
          <w:lang w:val="fr-FR"/>
        </w:rPr>
        <w:t xml:space="preserve">, mesurés par </w:t>
      </w:r>
      <w:r w:rsidR="00ED2E5F">
        <w:rPr>
          <w:lang w:val="fr-FR"/>
        </w:rPr>
        <w:t>l’</w:t>
      </w:r>
      <w:r w:rsidR="00D95F27" w:rsidRPr="00D95F27">
        <w:rPr>
          <w:lang w:val="fr-FR"/>
        </w:rPr>
        <w:t xml:space="preserve">intensité </w:t>
      </w:r>
      <w:r w:rsidR="00ED2E5F">
        <w:rPr>
          <w:lang w:val="fr-FR"/>
        </w:rPr>
        <w:t>d’utilisation</w:t>
      </w:r>
      <w:r w:rsidR="00D95F27" w:rsidRPr="00D95F27">
        <w:rPr>
          <w:lang w:val="fr-FR"/>
        </w:rPr>
        <w:t xml:space="preserve">, augmentent à un rythme similaire </w:t>
      </w:r>
      <w:r w:rsidR="00ED2E5F">
        <w:rPr>
          <w:lang w:val="fr-FR"/>
        </w:rPr>
        <w:t xml:space="preserve">pour </w:t>
      </w:r>
      <w:r w:rsidR="00D95F27" w:rsidRPr="00D95F27">
        <w:rPr>
          <w:lang w:val="fr-FR"/>
        </w:rPr>
        <w:t xml:space="preserve">toutes les catégories de revenus, à partir </w:t>
      </w:r>
      <w:r w:rsidR="00ED2E5F">
        <w:rPr>
          <w:lang w:val="fr-FR"/>
        </w:rPr>
        <w:t xml:space="preserve">toutefois </w:t>
      </w:r>
      <w:r w:rsidR="00D95F27" w:rsidRPr="00D95F27">
        <w:rPr>
          <w:lang w:val="fr-FR"/>
        </w:rPr>
        <w:t xml:space="preserve">de niveaux initiaux fortement corrélés au revenu (Figure </w:t>
      </w:r>
      <w:r>
        <w:rPr>
          <w:lang w:val="fr-FR"/>
        </w:rPr>
        <w:t>8</w:t>
      </w:r>
      <w:r w:rsidR="00D95F27" w:rsidRPr="00D95F27">
        <w:rPr>
          <w:lang w:val="fr-FR"/>
        </w:rPr>
        <w:t xml:space="preserve">). </w:t>
      </w:r>
      <w:r w:rsidR="00ED2E5F">
        <w:rPr>
          <w:lang w:val="fr-FR"/>
        </w:rPr>
        <w:t xml:space="preserve">Ce résultat </w:t>
      </w:r>
      <w:r w:rsidR="00D95F27" w:rsidRPr="00D95F27">
        <w:rPr>
          <w:lang w:val="fr-FR"/>
        </w:rPr>
        <w:t xml:space="preserve">rappelle que la réduction de la </w:t>
      </w:r>
      <w:r w:rsidR="00522860">
        <w:rPr>
          <w:lang w:val="fr-FR"/>
        </w:rPr>
        <w:t>précarité</w:t>
      </w:r>
      <w:r w:rsidR="00522860" w:rsidRPr="00D95F27">
        <w:rPr>
          <w:lang w:val="fr-FR"/>
        </w:rPr>
        <w:t xml:space="preserve"> </w:t>
      </w:r>
      <w:r w:rsidR="00D95F27" w:rsidRPr="00D95F27">
        <w:rPr>
          <w:lang w:val="fr-FR"/>
        </w:rPr>
        <w:t>énergétique et la réduction des inégalités ne vont pas nécessairement de pair.</w:t>
      </w:r>
    </w:p>
    <w:p w14:paraId="5F6A7502" w14:textId="3271E970" w:rsidR="005E70CB" w:rsidRPr="00C912D0" w:rsidRDefault="00CF63DC" w:rsidP="005E70CB">
      <w:pPr>
        <w:keepNext/>
        <w:jc w:val="center"/>
        <w:rPr>
          <w:lang w:val="en-GB"/>
        </w:rPr>
      </w:pPr>
      <w:r>
        <w:rPr>
          <w:noProof/>
        </w:rPr>
        <w:drawing>
          <wp:inline distT="0" distB="0" distL="0" distR="0" wp14:anchorId="57154A86" wp14:editId="66D8D28A">
            <wp:extent cx="5344884" cy="2672442"/>
            <wp:effectExtent l="0" t="0" r="8255" b="0"/>
            <wp:docPr id="55" name="Image 55" descr="C:\Users\Admin\AppData\Local\Temp\PresentationPreca_energetiqu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PresentationPreca_energetique-1-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5659" cy="2677830"/>
                    </a:xfrm>
                    <a:prstGeom prst="rect">
                      <a:avLst/>
                    </a:prstGeom>
                    <a:noFill/>
                    <a:ln>
                      <a:noFill/>
                    </a:ln>
                  </pic:spPr>
                </pic:pic>
              </a:graphicData>
            </a:graphic>
          </wp:inline>
        </w:drawing>
      </w:r>
    </w:p>
    <w:p w14:paraId="1217AD90" w14:textId="421FD96C" w:rsidR="005E70CB" w:rsidRPr="00216C19" w:rsidRDefault="005E70CB" w:rsidP="005E70CB">
      <w:pPr>
        <w:pStyle w:val="Lgende"/>
        <w:jc w:val="center"/>
        <w:rPr>
          <w:lang w:val="fr-FR"/>
        </w:rPr>
      </w:pPr>
      <w:r w:rsidRPr="00216C19">
        <w:rPr>
          <w:lang w:val="fr-FR"/>
        </w:rPr>
        <w:t xml:space="preserve">Figure </w:t>
      </w:r>
      <w:r w:rsidR="005771E8" w:rsidRPr="00C912D0">
        <w:rPr>
          <w:lang w:val="en-GB"/>
        </w:rPr>
        <w:fldChar w:fldCharType="begin"/>
      </w:r>
      <w:r w:rsidR="005771E8" w:rsidRPr="00216C19">
        <w:rPr>
          <w:lang w:val="fr-FR"/>
        </w:rPr>
        <w:instrText xml:space="preserve"> SEQ Figure \* ARABIC </w:instrText>
      </w:r>
      <w:r w:rsidR="005771E8" w:rsidRPr="00C912D0">
        <w:rPr>
          <w:lang w:val="en-GB"/>
        </w:rPr>
        <w:fldChar w:fldCharType="separate"/>
      </w:r>
      <w:r w:rsidR="000D3843">
        <w:rPr>
          <w:noProof/>
          <w:lang w:val="fr-FR"/>
        </w:rPr>
        <w:t>7</w:t>
      </w:r>
      <w:r w:rsidR="005771E8" w:rsidRPr="00C912D0">
        <w:rPr>
          <w:noProof/>
          <w:lang w:val="en-GB"/>
        </w:rPr>
        <w:fldChar w:fldCharType="end"/>
      </w:r>
      <w:r w:rsidRPr="00216C19">
        <w:rPr>
          <w:lang w:val="fr-FR"/>
        </w:rPr>
        <w:t xml:space="preserve">: </w:t>
      </w:r>
      <w:r w:rsidR="001F4646" w:rsidRPr="00216C19">
        <w:rPr>
          <w:lang w:val="fr-FR"/>
        </w:rPr>
        <w:t>Evolution de la précarité énergétique</w:t>
      </w:r>
    </w:p>
    <w:p w14:paraId="316A2D01" w14:textId="5C4283E9" w:rsidR="00260891" w:rsidRPr="00C912D0" w:rsidRDefault="00CF63DC" w:rsidP="00260891">
      <w:pPr>
        <w:keepNext/>
        <w:jc w:val="center"/>
        <w:rPr>
          <w:lang w:val="en-GB"/>
        </w:rPr>
      </w:pPr>
      <w:r>
        <w:rPr>
          <w:noProof/>
        </w:rPr>
        <w:drawing>
          <wp:inline distT="0" distB="0" distL="0" distR="0" wp14:anchorId="7ECB5D6E" wp14:editId="5ACC325B">
            <wp:extent cx="5508171" cy="2754086"/>
            <wp:effectExtent l="0" t="0" r="0" b="8255"/>
            <wp:docPr id="56" name="Image 56" descr="C:\Users\Admin\AppData\Local\Temp\PresentationIUnonc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PresentationIUnonco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2598" cy="2756300"/>
                    </a:xfrm>
                    <a:prstGeom prst="rect">
                      <a:avLst/>
                    </a:prstGeom>
                    <a:noFill/>
                    <a:ln>
                      <a:noFill/>
                    </a:ln>
                  </pic:spPr>
                </pic:pic>
              </a:graphicData>
            </a:graphic>
          </wp:inline>
        </w:drawing>
      </w:r>
    </w:p>
    <w:p w14:paraId="514D41F9" w14:textId="458CE466" w:rsidR="00260891" w:rsidRPr="00216C19" w:rsidRDefault="00260891" w:rsidP="00260891">
      <w:pPr>
        <w:pStyle w:val="Lgende"/>
        <w:jc w:val="center"/>
        <w:rPr>
          <w:lang w:val="fr-FR"/>
        </w:rPr>
      </w:pPr>
      <w:r w:rsidRPr="00216C19">
        <w:rPr>
          <w:lang w:val="fr-FR"/>
        </w:rPr>
        <w:t xml:space="preserve">Figure </w:t>
      </w:r>
      <w:r w:rsidR="005771E8" w:rsidRPr="00C912D0">
        <w:rPr>
          <w:lang w:val="en-GB"/>
        </w:rPr>
        <w:fldChar w:fldCharType="begin"/>
      </w:r>
      <w:r w:rsidR="005771E8" w:rsidRPr="00216C19">
        <w:rPr>
          <w:lang w:val="fr-FR"/>
        </w:rPr>
        <w:instrText xml:space="preserve"> SEQ Figure \* ARABIC </w:instrText>
      </w:r>
      <w:r w:rsidR="005771E8" w:rsidRPr="00C912D0">
        <w:rPr>
          <w:lang w:val="en-GB"/>
        </w:rPr>
        <w:fldChar w:fldCharType="separate"/>
      </w:r>
      <w:r w:rsidR="000D3843">
        <w:rPr>
          <w:noProof/>
          <w:lang w:val="fr-FR"/>
        </w:rPr>
        <w:t>8</w:t>
      </w:r>
      <w:r w:rsidR="005771E8" w:rsidRPr="00C912D0">
        <w:rPr>
          <w:noProof/>
          <w:lang w:val="en-GB"/>
        </w:rPr>
        <w:fldChar w:fldCharType="end"/>
      </w:r>
      <w:r w:rsidRPr="00216C19">
        <w:rPr>
          <w:lang w:val="fr-FR"/>
        </w:rPr>
        <w:t xml:space="preserve">: </w:t>
      </w:r>
      <w:r w:rsidR="00216C19" w:rsidRPr="00216C19">
        <w:rPr>
          <w:lang w:val="fr-FR"/>
        </w:rPr>
        <w:t>Intensité d’utilisation, par niveau de revenu</w:t>
      </w:r>
    </w:p>
    <w:p w14:paraId="1BE8D9A8" w14:textId="34C9FFC9" w:rsidR="00996566" w:rsidRPr="00D95F27" w:rsidRDefault="00D95F27" w:rsidP="00007DD2">
      <w:pPr>
        <w:rPr>
          <w:lang w:val="fr-FR"/>
        </w:rPr>
      </w:pPr>
      <w:r w:rsidRPr="00D95F27">
        <w:rPr>
          <w:lang w:val="fr-FR"/>
        </w:rPr>
        <w:t>Dans l'ensemble, notre évaluation suggère qu</w:t>
      </w:r>
      <w:r w:rsidR="000F06CA">
        <w:rPr>
          <w:lang w:val="fr-FR"/>
        </w:rPr>
        <w:t>’atteindre les différents objectifs nécessite de fixer les politiques à leur niveau</w:t>
      </w:r>
      <w:r w:rsidR="000A41FF">
        <w:rPr>
          <w:lang w:val="fr-FR"/>
        </w:rPr>
        <w:t>x</w:t>
      </w:r>
      <w:r w:rsidR="000F06CA">
        <w:rPr>
          <w:lang w:val="fr-FR"/>
        </w:rPr>
        <w:t xml:space="preserve"> les </w:t>
      </w:r>
      <w:r w:rsidRPr="00D95F27">
        <w:rPr>
          <w:lang w:val="fr-FR"/>
        </w:rPr>
        <w:t xml:space="preserve">plus ambitieux et </w:t>
      </w:r>
      <w:r w:rsidR="000F06CA">
        <w:rPr>
          <w:lang w:val="fr-FR"/>
        </w:rPr>
        <w:t>les maintenir jusqu’</w:t>
      </w:r>
      <w:r w:rsidRPr="00D95F27">
        <w:rPr>
          <w:lang w:val="fr-FR"/>
        </w:rPr>
        <w:t>en 2050.</w:t>
      </w:r>
    </w:p>
    <w:p w14:paraId="4EF2C099" w14:textId="57EE4AFB" w:rsidR="007C7689" w:rsidRPr="00C912D0" w:rsidRDefault="00D95F27" w:rsidP="008E7AAE">
      <w:pPr>
        <w:pStyle w:val="Titre2"/>
        <w:rPr>
          <w:lang w:val="en-GB"/>
        </w:rPr>
      </w:pPr>
      <w:r>
        <w:rPr>
          <w:lang w:val="en-GB"/>
        </w:rPr>
        <w:lastRenderedPageBreak/>
        <w:t>Efficience comparée</w:t>
      </w:r>
    </w:p>
    <w:p w14:paraId="51D37AC2" w14:textId="22263AAA" w:rsidR="00455221" w:rsidRPr="00D95F27" w:rsidRDefault="007035B3" w:rsidP="00455221">
      <w:pPr>
        <w:rPr>
          <w:lang w:val="fr-FR"/>
        </w:rPr>
      </w:pPr>
      <w:r>
        <w:rPr>
          <w:lang w:val="fr-FR"/>
        </w:rPr>
        <w:t xml:space="preserve">Après avoir évalué l’atteinte des objectifs </w:t>
      </w:r>
      <w:r w:rsidR="0065513F">
        <w:rPr>
          <w:lang w:val="fr-FR"/>
        </w:rPr>
        <w:t xml:space="preserve">en considérant </w:t>
      </w:r>
      <w:r>
        <w:rPr>
          <w:lang w:val="fr-FR"/>
        </w:rPr>
        <w:t>différents bouquets de politiques publiques, on isole ici l’impact de chaque politique</w:t>
      </w:r>
      <w:r w:rsidR="00544563">
        <w:rPr>
          <w:lang w:val="fr-FR"/>
        </w:rPr>
        <w:t xml:space="preserve"> à partir de la méthode exposée au paragraphe 3.3.1. </w:t>
      </w:r>
      <w:r w:rsidR="00F31B58">
        <w:rPr>
          <w:lang w:val="fr-FR"/>
        </w:rPr>
        <w:t>La F</w:t>
      </w:r>
      <w:r w:rsidR="00D95F27" w:rsidRPr="00D95F27">
        <w:rPr>
          <w:lang w:val="fr-FR"/>
        </w:rPr>
        <w:t>i</w:t>
      </w:r>
      <w:r w:rsidR="00F31B58">
        <w:rPr>
          <w:lang w:val="fr-FR"/>
        </w:rPr>
        <w:t>gure 9</w:t>
      </w:r>
      <w:r w:rsidR="007F26CC">
        <w:rPr>
          <w:lang w:val="fr-FR"/>
        </w:rPr>
        <w:t xml:space="preserve"> compare les économies d’</w:t>
      </w:r>
      <w:r w:rsidR="00D95F27" w:rsidRPr="00D95F27">
        <w:rPr>
          <w:lang w:val="fr-FR"/>
        </w:rPr>
        <w:t>énergie réalisées par chaque instrument</w:t>
      </w:r>
      <w:r w:rsidR="007F26CC">
        <w:rPr>
          <w:lang w:val="fr-FR"/>
        </w:rPr>
        <w:t>, calculées à partir d</w:t>
      </w:r>
      <w:r w:rsidR="00D95F27" w:rsidRPr="00D95F27">
        <w:rPr>
          <w:lang w:val="fr-FR"/>
        </w:rPr>
        <w:t xml:space="preserve">es 32 combinaisons </w:t>
      </w:r>
      <w:r w:rsidR="00544563">
        <w:rPr>
          <w:lang w:val="fr-FR"/>
        </w:rPr>
        <w:t>de politiques possibles impliquant ce même instrument</w:t>
      </w:r>
      <w:r w:rsidR="00D95F27" w:rsidRPr="00D95F27">
        <w:rPr>
          <w:lang w:val="fr-FR"/>
        </w:rPr>
        <w:t>. Le</w:t>
      </w:r>
      <w:r w:rsidR="007F26CC">
        <w:rPr>
          <w:lang w:val="fr-FR"/>
        </w:rPr>
        <w:t>s histogrammes indiquent les économies moyennes, les barres indiquent l’écart-</w:t>
      </w:r>
      <w:r w:rsidR="00D95F27" w:rsidRPr="00D95F27">
        <w:rPr>
          <w:lang w:val="fr-FR"/>
        </w:rPr>
        <w:t xml:space="preserve">type et </w:t>
      </w:r>
      <w:r w:rsidR="007F26CC">
        <w:rPr>
          <w:lang w:val="fr-FR"/>
        </w:rPr>
        <w:t xml:space="preserve">les cas polaires </w:t>
      </w:r>
      <w:r w:rsidR="008C5A46">
        <w:rPr>
          <w:lang w:val="fr-FR"/>
        </w:rPr>
        <w:t>TP</w:t>
      </w:r>
      <w:r w:rsidR="00D95F27" w:rsidRPr="00D95F27">
        <w:rPr>
          <w:lang w:val="fr-FR"/>
        </w:rPr>
        <w:t>-1</w:t>
      </w:r>
      <w:r w:rsidR="007F26CC">
        <w:rPr>
          <w:lang w:val="fr-FR"/>
        </w:rPr>
        <w:t xml:space="preserve"> et </w:t>
      </w:r>
      <w:r w:rsidR="00D95F27" w:rsidRPr="00D95F27">
        <w:rPr>
          <w:lang w:val="fr-FR"/>
        </w:rPr>
        <w:t>ZP+1</w:t>
      </w:r>
      <w:r w:rsidR="007F26CC">
        <w:rPr>
          <w:lang w:val="fr-FR"/>
        </w:rPr>
        <w:t xml:space="preserve"> </w:t>
      </w:r>
      <w:r w:rsidR="00F838F2">
        <w:rPr>
          <w:lang w:val="fr-FR"/>
        </w:rPr>
        <w:t xml:space="preserve">sont identifiés </w:t>
      </w:r>
      <w:r w:rsidR="007F26CC">
        <w:rPr>
          <w:lang w:val="fr-FR"/>
        </w:rPr>
        <w:t>par des marqueurs</w:t>
      </w:r>
      <w:r w:rsidR="00353DF5">
        <w:rPr>
          <w:lang w:val="fr-FR"/>
        </w:rPr>
        <w:t xml:space="preserve"> spécifiques</w:t>
      </w:r>
      <w:r w:rsidR="00D95F27" w:rsidRPr="00D95F27">
        <w:rPr>
          <w:lang w:val="fr-FR"/>
        </w:rPr>
        <w:t xml:space="preserve">. La taxe carbone </w:t>
      </w:r>
      <w:r w:rsidR="00596023">
        <w:rPr>
          <w:lang w:val="fr-FR"/>
        </w:rPr>
        <w:t>s’avère</w:t>
      </w:r>
      <w:r w:rsidR="00D95F27" w:rsidRPr="00D95F27">
        <w:rPr>
          <w:lang w:val="fr-FR"/>
        </w:rPr>
        <w:t xml:space="preserve"> </w:t>
      </w:r>
      <w:r w:rsidR="00596023">
        <w:rPr>
          <w:lang w:val="fr-FR"/>
        </w:rPr>
        <w:t>être l’</w:t>
      </w:r>
      <w:r w:rsidR="00D95F27" w:rsidRPr="00D95F27">
        <w:rPr>
          <w:lang w:val="fr-FR"/>
        </w:rPr>
        <w:t>instrument le plus efficace. Cette p</w:t>
      </w:r>
      <w:r w:rsidR="00915E8C">
        <w:rPr>
          <w:lang w:val="fr-FR"/>
        </w:rPr>
        <w:t>erformance s’</w:t>
      </w:r>
      <w:r w:rsidR="00D95F27" w:rsidRPr="00D95F27">
        <w:rPr>
          <w:lang w:val="fr-FR"/>
        </w:rPr>
        <w:t xml:space="preserve">explique par la combinaison de deux effets : une incitation à la rénovation associée à une incitation à réduire les dépenses énergétiques après rénovation. En </w:t>
      </w:r>
      <w:r w:rsidR="00915E8C">
        <w:rPr>
          <w:lang w:val="fr-FR"/>
        </w:rPr>
        <w:t>comparaison, les subventions ne mobilisent que le premier levier</w:t>
      </w:r>
      <w:r w:rsidR="00D95F27" w:rsidRPr="00D95F27">
        <w:rPr>
          <w:lang w:val="fr-FR"/>
        </w:rPr>
        <w:t xml:space="preserve">. De plus, </w:t>
      </w:r>
      <w:r w:rsidR="00915E8C">
        <w:rPr>
          <w:lang w:val="fr-FR"/>
        </w:rPr>
        <w:t xml:space="preserve">la </w:t>
      </w:r>
      <w:r w:rsidR="00D95F27" w:rsidRPr="00D95F27">
        <w:rPr>
          <w:lang w:val="fr-FR"/>
        </w:rPr>
        <w:t xml:space="preserve">taxe carbone </w:t>
      </w:r>
      <w:r w:rsidR="00915E8C">
        <w:rPr>
          <w:lang w:val="fr-FR"/>
        </w:rPr>
        <w:t xml:space="preserve">augmente par </w:t>
      </w:r>
      <w:r w:rsidR="00AD2456">
        <w:rPr>
          <w:lang w:val="fr-FR"/>
        </w:rPr>
        <w:t xml:space="preserve">construction </w:t>
      </w:r>
      <w:r w:rsidR="00D95F27" w:rsidRPr="00D95F27">
        <w:rPr>
          <w:lang w:val="fr-FR"/>
        </w:rPr>
        <w:t>au fil du temps, alors que les subventions (à l</w:t>
      </w:r>
      <w:r w:rsidR="00915E8C">
        <w:rPr>
          <w:lang w:val="fr-FR"/>
        </w:rPr>
        <w:t>’</w:t>
      </w:r>
      <w:r w:rsidR="00D95F27" w:rsidRPr="00D95F27">
        <w:rPr>
          <w:lang w:val="fr-FR"/>
        </w:rPr>
        <w:t xml:space="preserve">exception </w:t>
      </w:r>
      <w:r w:rsidR="00915E8C">
        <w:rPr>
          <w:lang w:val="fr-FR"/>
        </w:rPr>
        <w:t>des CEE</w:t>
      </w:r>
      <w:r w:rsidR="00D95F27" w:rsidRPr="00D95F27">
        <w:rPr>
          <w:lang w:val="fr-FR"/>
        </w:rPr>
        <w:t xml:space="preserve">, qui sont de toute façon fixées à </w:t>
      </w:r>
      <w:r w:rsidR="00915E8C">
        <w:rPr>
          <w:lang w:val="fr-FR"/>
        </w:rPr>
        <w:t xml:space="preserve">un </w:t>
      </w:r>
      <w:r w:rsidR="00D95F27" w:rsidRPr="00D95F27">
        <w:rPr>
          <w:lang w:val="fr-FR"/>
        </w:rPr>
        <w:t>niveau</w:t>
      </w:r>
      <w:r w:rsidR="00915E8C">
        <w:rPr>
          <w:lang w:val="fr-FR"/>
        </w:rPr>
        <w:t xml:space="preserve"> </w:t>
      </w:r>
      <w:r w:rsidR="00915E8C" w:rsidRPr="00D95F27">
        <w:rPr>
          <w:lang w:val="fr-FR"/>
        </w:rPr>
        <w:t>faible</w:t>
      </w:r>
      <w:r w:rsidR="00D95F27" w:rsidRPr="00D95F27">
        <w:rPr>
          <w:lang w:val="fr-FR"/>
        </w:rPr>
        <w:t xml:space="preserve">) sont maintenues à un </w:t>
      </w:r>
      <w:r w:rsidR="00915E8C">
        <w:rPr>
          <w:lang w:val="fr-FR"/>
        </w:rPr>
        <w:t xml:space="preserve">niveau </w:t>
      </w:r>
      <w:r w:rsidR="00D95F27" w:rsidRPr="00D95F27">
        <w:rPr>
          <w:lang w:val="fr-FR"/>
        </w:rPr>
        <w:t xml:space="preserve"> constant. </w:t>
      </w:r>
      <w:r w:rsidR="00FF7D34">
        <w:rPr>
          <w:lang w:val="fr-FR"/>
        </w:rPr>
        <w:t>L</w:t>
      </w:r>
      <w:r w:rsidR="00915E8C">
        <w:rPr>
          <w:lang w:val="fr-FR"/>
        </w:rPr>
        <w:t xml:space="preserve">e </w:t>
      </w:r>
      <w:r w:rsidR="00CA3302">
        <w:rPr>
          <w:lang w:val="fr-FR"/>
        </w:rPr>
        <w:t>CITE</w:t>
      </w:r>
      <w:r w:rsidR="00D95F27" w:rsidRPr="00D95F27">
        <w:rPr>
          <w:lang w:val="fr-FR"/>
        </w:rPr>
        <w:t xml:space="preserve"> </w:t>
      </w:r>
      <w:r w:rsidR="00FF7D34">
        <w:rPr>
          <w:lang w:val="fr-FR"/>
        </w:rPr>
        <w:t>est la subvention à</w:t>
      </w:r>
      <w:r w:rsidR="00D95F27" w:rsidRPr="00D95F27">
        <w:rPr>
          <w:lang w:val="fr-FR"/>
        </w:rPr>
        <w:t xml:space="preserve"> </w:t>
      </w:r>
      <w:r w:rsidR="00915E8C">
        <w:rPr>
          <w:lang w:val="fr-FR"/>
        </w:rPr>
        <w:t xml:space="preserve">l’impact </w:t>
      </w:r>
      <w:r w:rsidR="00D95F27" w:rsidRPr="00D95F27">
        <w:rPr>
          <w:lang w:val="fr-FR"/>
        </w:rPr>
        <w:t xml:space="preserve">le plus fort, en raison de son taux </w:t>
      </w:r>
      <w:r w:rsidR="00E85692">
        <w:rPr>
          <w:lang w:val="fr-FR"/>
        </w:rPr>
        <w:t xml:space="preserve">relativement </w:t>
      </w:r>
      <w:r w:rsidR="00D95F27" w:rsidRPr="00D95F27">
        <w:rPr>
          <w:lang w:val="fr-FR"/>
        </w:rPr>
        <w:t>éle</w:t>
      </w:r>
      <w:r w:rsidR="00915E8C">
        <w:rPr>
          <w:lang w:val="fr-FR"/>
        </w:rPr>
        <w:t>vé. Le fait que les économies d’</w:t>
      </w:r>
      <w:r w:rsidR="00D95F27" w:rsidRPr="00D95F27">
        <w:rPr>
          <w:lang w:val="fr-FR"/>
        </w:rPr>
        <w:t xml:space="preserve">énergie </w:t>
      </w:r>
      <w:r w:rsidR="00915E8C">
        <w:rPr>
          <w:lang w:val="fr-FR"/>
        </w:rPr>
        <w:t xml:space="preserve">dans le scénario TP-1 </w:t>
      </w:r>
      <w:r w:rsidR="00D95F27" w:rsidRPr="00D95F27">
        <w:rPr>
          <w:lang w:val="fr-FR"/>
        </w:rPr>
        <w:t xml:space="preserve">soient systématiquement </w:t>
      </w:r>
      <w:r w:rsidR="00915E8C">
        <w:rPr>
          <w:lang w:val="fr-FR"/>
        </w:rPr>
        <w:t xml:space="preserve">supérieures à celles du </w:t>
      </w:r>
      <w:r w:rsidR="00D95F27" w:rsidRPr="00D95F27">
        <w:rPr>
          <w:lang w:val="fr-FR"/>
        </w:rPr>
        <w:t>scénario</w:t>
      </w:r>
      <w:r w:rsidR="00915E8C">
        <w:rPr>
          <w:lang w:val="fr-FR"/>
        </w:rPr>
        <w:t xml:space="preserve"> </w:t>
      </w:r>
      <w:r w:rsidR="00D95F27" w:rsidRPr="00D95F27">
        <w:rPr>
          <w:lang w:val="fr-FR"/>
        </w:rPr>
        <w:t xml:space="preserve">ZP+1 </w:t>
      </w:r>
      <w:r w:rsidR="00915E8C">
        <w:rPr>
          <w:lang w:val="fr-FR"/>
        </w:rPr>
        <w:t>suggère l’existence d’</w:t>
      </w:r>
      <w:r w:rsidR="00D95F27" w:rsidRPr="00D95F27">
        <w:rPr>
          <w:lang w:val="fr-FR"/>
        </w:rPr>
        <w:t xml:space="preserve">interactions </w:t>
      </w:r>
      <w:r w:rsidR="00915E8C">
        <w:rPr>
          <w:lang w:val="fr-FR"/>
        </w:rPr>
        <w:t>sur-</w:t>
      </w:r>
      <w:r w:rsidR="00D95F27" w:rsidRPr="00D95F27">
        <w:rPr>
          <w:lang w:val="fr-FR"/>
        </w:rPr>
        <w:t>additives</w:t>
      </w:r>
      <w:r w:rsidR="00915E8C">
        <w:rPr>
          <w:lang w:val="fr-FR"/>
        </w:rPr>
        <w:t xml:space="preserve"> entre instruments</w:t>
      </w:r>
      <w:r w:rsidR="00D95F27" w:rsidRPr="00D95F27">
        <w:rPr>
          <w:lang w:val="fr-FR"/>
        </w:rPr>
        <w:t xml:space="preserve">. </w:t>
      </w:r>
      <w:r w:rsidR="00641926">
        <w:rPr>
          <w:lang w:val="fr-FR"/>
        </w:rPr>
        <w:t>Dans l’</w:t>
      </w:r>
      <w:r w:rsidR="00D95F27" w:rsidRPr="00D95F27">
        <w:rPr>
          <w:lang w:val="fr-FR"/>
        </w:rPr>
        <w:t>ensemble, les interactions entre les</w:t>
      </w:r>
      <w:r w:rsidR="00641926">
        <w:rPr>
          <w:lang w:val="fr-FR"/>
        </w:rPr>
        <w:t xml:space="preserve"> politiques </w:t>
      </w:r>
      <w:r w:rsidR="00C3033F">
        <w:rPr>
          <w:lang w:val="fr-FR"/>
        </w:rPr>
        <w:t>induisent une variation de 10 % de l’</w:t>
      </w:r>
      <w:r w:rsidR="00D95F27" w:rsidRPr="00D95F27">
        <w:rPr>
          <w:lang w:val="fr-FR"/>
        </w:rPr>
        <w:t>efficacité d</w:t>
      </w:r>
      <w:r w:rsidR="00C3033F">
        <w:rPr>
          <w:lang w:val="fr-FR"/>
        </w:rPr>
        <w:t>’</w:t>
      </w:r>
      <w:r w:rsidR="00D95F27" w:rsidRPr="00D95F27">
        <w:rPr>
          <w:lang w:val="fr-FR"/>
        </w:rPr>
        <w:t xml:space="preserve">un instrument. </w:t>
      </w:r>
      <w:r w:rsidR="00C3033F">
        <w:rPr>
          <w:lang w:val="fr-FR"/>
        </w:rPr>
        <w:t>Ce niveau relativement modeste nous conduit à nous concentrer sur la méthode TP-1 – qui correspond a priori à la situation la plus proche de la réalité – dans les analyses ultérieures.</w:t>
      </w:r>
    </w:p>
    <w:p w14:paraId="391941C3" w14:textId="27AA4286" w:rsidR="00655C9C" w:rsidRPr="00C912D0" w:rsidRDefault="00CF63DC" w:rsidP="00655C9C">
      <w:pPr>
        <w:keepNext/>
        <w:jc w:val="center"/>
        <w:rPr>
          <w:lang w:val="en-GB"/>
        </w:rPr>
      </w:pPr>
      <w:r>
        <w:rPr>
          <w:noProof/>
        </w:rPr>
        <w:drawing>
          <wp:inline distT="0" distB="0" distL="0" distR="0" wp14:anchorId="49C6D5C9" wp14:editId="6C046851">
            <wp:extent cx="3897923" cy="3031717"/>
            <wp:effectExtent l="0" t="0" r="7620" b="0"/>
            <wp:docPr id="26" name="Image 26" descr="C:\Users\Admin\AppData\Local\Temp\Combipol_pourcent_ER_f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Combipol_pourcent_ER_fr-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7100" cy="3031077"/>
                    </a:xfrm>
                    <a:prstGeom prst="rect">
                      <a:avLst/>
                    </a:prstGeom>
                    <a:noFill/>
                    <a:ln>
                      <a:noFill/>
                    </a:ln>
                  </pic:spPr>
                </pic:pic>
              </a:graphicData>
            </a:graphic>
          </wp:inline>
        </w:drawing>
      </w:r>
    </w:p>
    <w:p w14:paraId="18FCB527" w14:textId="27BA9589" w:rsidR="00655C9C" w:rsidRPr="00876C21" w:rsidRDefault="00655C9C" w:rsidP="00655C9C">
      <w:pPr>
        <w:pStyle w:val="Lgende"/>
        <w:jc w:val="center"/>
        <w:rPr>
          <w:lang w:val="fr-FR"/>
        </w:rPr>
      </w:pPr>
      <w:r w:rsidRPr="00876C21">
        <w:rPr>
          <w:lang w:val="fr-FR"/>
        </w:rPr>
        <w:t xml:space="preserve">Figure </w:t>
      </w:r>
      <w:r w:rsidR="005771E8" w:rsidRPr="00C912D0">
        <w:rPr>
          <w:lang w:val="en-GB"/>
        </w:rPr>
        <w:fldChar w:fldCharType="begin"/>
      </w:r>
      <w:r w:rsidR="005771E8" w:rsidRPr="00876C21">
        <w:rPr>
          <w:lang w:val="fr-FR"/>
        </w:rPr>
        <w:instrText xml:space="preserve"> SEQ Figure \* ARABIC </w:instrText>
      </w:r>
      <w:r w:rsidR="005771E8" w:rsidRPr="00C912D0">
        <w:rPr>
          <w:lang w:val="en-GB"/>
        </w:rPr>
        <w:fldChar w:fldCharType="separate"/>
      </w:r>
      <w:r w:rsidR="000D3843">
        <w:rPr>
          <w:noProof/>
          <w:lang w:val="fr-FR"/>
        </w:rPr>
        <w:t>9</w:t>
      </w:r>
      <w:r w:rsidR="005771E8" w:rsidRPr="00C912D0">
        <w:rPr>
          <w:noProof/>
          <w:lang w:val="en-GB"/>
        </w:rPr>
        <w:fldChar w:fldCharType="end"/>
      </w:r>
      <w:r w:rsidRPr="00876C21">
        <w:rPr>
          <w:lang w:val="fr-FR"/>
        </w:rPr>
        <w:t xml:space="preserve">: </w:t>
      </w:r>
      <w:r w:rsidR="00216C19" w:rsidRPr="00876C21">
        <w:rPr>
          <w:lang w:val="fr-FR"/>
        </w:rPr>
        <w:t>Efficacité des politiques en termes d’économies d’énergie</w:t>
      </w:r>
    </w:p>
    <w:p w14:paraId="218978CD" w14:textId="5F2E8554" w:rsidR="008858D3" w:rsidRPr="00D95F27" w:rsidRDefault="00F31B58" w:rsidP="00455221">
      <w:pPr>
        <w:rPr>
          <w:lang w:val="fr-FR"/>
        </w:rPr>
      </w:pPr>
      <w:r>
        <w:rPr>
          <w:lang w:val="fr-FR"/>
        </w:rPr>
        <w:t>La Figure 10</w:t>
      </w:r>
      <w:r w:rsidR="00221294">
        <w:rPr>
          <w:lang w:val="fr-FR"/>
        </w:rPr>
        <w:t xml:space="preserve"> compare le coût</w:t>
      </w:r>
      <w:r w:rsidR="00D95F27" w:rsidRPr="00D95F27">
        <w:rPr>
          <w:lang w:val="fr-FR"/>
        </w:rPr>
        <w:t xml:space="preserve"> des subventions publiques </w:t>
      </w:r>
      <w:r w:rsidR="00221294">
        <w:rPr>
          <w:lang w:val="fr-FR"/>
        </w:rPr>
        <w:t xml:space="preserve">tels que simulé par le modèle </w:t>
      </w:r>
      <w:r w:rsidR="00D95F27" w:rsidRPr="00D95F27">
        <w:rPr>
          <w:lang w:val="fr-FR"/>
        </w:rPr>
        <w:t xml:space="preserve">à ceux estimés par </w:t>
      </w:r>
      <w:r w:rsidR="00C3033F">
        <w:rPr>
          <w:lang w:val="fr-FR"/>
        </w:rPr>
        <w:t xml:space="preserve">l’Inspection générale des finances </w:t>
      </w:r>
      <w:r w:rsidR="00D95F27" w:rsidRPr="00D95F27">
        <w:rPr>
          <w:lang w:val="fr-FR"/>
        </w:rPr>
        <w:t>(IGF et CGEDD, 201</w:t>
      </w:r>
      <w:r w:rsidR="007D66C7">
        <w:rPr>
          <w:lang w:val="fr-FR"/>
        </w:rPr>
        <w:t xml:space="preserve">7). </w:t>
      </w:r>
      <w:r w:rsidR="0042764D">
        <w:rPr>
          <w:lang w:val="fr-FR"/>
        </w:rPr>
        <w:t>L</w:t>
      </w:r>
      <w:r w:rsidR="00D95F27" w:rsidRPr="00D95F27">
        <w:rPr>
          <w:lang w:val="fr-FR"/>
        </w:rPr>
        <w:t xml:space="preserve">es ordres de grandeur </w:t>
      </w:r>
      <w:r w:rsidR="00EA46AF">
        <w:rPr>
          <w:lang w:val="fr-FR"/>
        </w:rPr>
        <w:t xml:space="preserve">sont </w:t>
      </w:r>
      <w:r w:rsidR="00C4794C">
        <w:rPr>
          <w:lang w:val="fr-FR"/>
        </w:rPr>
        <w:t xml:space="preserve">remarquablement cohérents </w:t>
      </w:r>
      <w:r w:rsidR="00EA46AF">
        <w:rPr>
          <w:lang w:val="fr-FR"/>
        </w:rPr>
        <w:t>entre les</w:t>
      </w:r>
      <w:r w:rsidR="004C2F0C">
        <w:rPr>
          <w:lang w:val="fr-FR"/>
        </w:rPr>
        <w:t xml:space="preserve"> deux estimations </w:t>
      </w:r>
      <w:r w:rsidR="00C4794C">
        <w:rPr>
          <w:lang w:val="fr-FR"/>
        </w:rPr>
        <w:t xml:space="preserve">pour </w:t>
      </w:r>
      <w:r w:rsidR="007D66C7">
        <w:rPr>
          <w:lang w:val="fr-FR"/>
        </w:rPr>
        <w:t xml:space="preserve">la </w:t>
      </w:r>
      <w:r w:rsidR="00D95F27" w:rsidRPr="00D95F27">
        <w:rPr>
          <w:lang w:val="fr-FR"/>
        </w:rPr>
        <w:t>TVA</w:t>
      </w:r>
      <w:r w:rsidR="007D66C7">
        <w:rPr>
          <w:lang w:val="fr-FR"/>
        </w:rPr>
        <w:t>r</w:t>
      </w:r>
      <w:r w:rsidR="00633EEC">
        <w:rPr>
          <w:lang w:val="fr-FR"/>
        </w:rPr>
        <w:t> </w:t>
      </w:r>
      <w:r w:rsidR="00C4794C">
        <w:rPr>
          <w:lang w:val="fr-FR"/>
        </w:rPr>
        <w:t xml:space="preserve">et, dans une moindre mesure, pour le CITE </w:t>
      </w:r>
      <w:r w:rsidR="00633EEC">
        <w:rPr>
          <w:lang w:val="fr-FR"/>
        </w:rPr>
        <w:t xml:space="preserve">; </w:t>
      </w:r>
      <w:r w:rsidR="00C4794C">
        <w:rPr>
          <w:lang w:val="fr-FR"/>
        </w:rPr>
        <w:t xml:space="preserve">pour ce dernier, </w:t>
      </w:r>
      <w:r w:rsidR="0045274E">
        <w:rPr>
          <w:lang w:val="fr-FR"/>
        </w:rPr>
        <w:t xml:space="preserve">le moindre coût </w:t>
      </w:r>
      <w:r w:rsidR="00C4794C">
        <w:rPr>
          <w:lang w:val="fr-FR"/>
        </w:rPr>
        <w:t>obtenu dans les simulations s’explique par le fait que la modélisation ignore certaines mesures</w:t>
      </w:r>
      <w:r w:rsidR="004E0055">
        <w:rPr>
          <w:lang w:val="fr-FR"/>
        </w:rPr>
        <w:t xml:space="preserve"> éligibles au CITE</w:t>
      </w:r>
      <w:r w:rsidR="00C4794C">
        <w:rPr>
          <w:lang w:val="fr-FR"/>
        </w:rPr>
        <w:t>, comme les petits équipements renouvelables</w:t>
      </w:r>
      <w:r w:rsidR="004C2F0C">
        <w:rPr>
          <w:lang w:val="fr-FR"/>
        </w:rPr>
        <w:t xml:space="preserve">. En </w:t>
      </w:r>
      <w:r w:rsidR="0004122D">
        <w:rPr>
          <w:lang w:val="fr-FR"/>
        </w:rPr>
        <w:t>revanche</w:t>
      </w:r>
      <w:r w:rsidR="007D66C7">
        <w:rPr>
          <w:lang w:val="fr-FR"/>
        </w:rPr>
        <w:t xml:space="preserve">, </w:t>
      </w:r>
      <w:r w:rsidR="004B3AF8">
        <w:rPr>
          <w:lang w:val="fr-FR"/>
        </w:rPr>
        <w:t>les deux estimations</w:t>
      </w:r>
      <w:r w:rsidR="00C33159">
        <w:rPr>
          <w:lang w:val="fr-FR"/>
        </w:rPr>
        <w:t xml:space="preserve"> de coût</w:t>
      </w:r>
      <w:r w:rsidR="004B3AF8">
        <w:rPr>
          <w:lang w:val="fr-FR"/>
        </w:rPr>
        <w:t xml:space="preserve"> </w:t>
      </w:r>
      <w:r w:rsidR="007D66C7">
        <w:rPr>
          <w:lang w:val="fr-FR"/>
        </w:rPr>
        <w:t xml:space="preserve">diffèrent </w:t>
      </w:r>
      <w:r w:rsidR="00D95F27" w:rsidRPr="00D95F27">
        <w:rPr>
          <w:lang w:val="fr-FR"/>
        </w:rPr>
        <w:t xml:space="preserve">considérablement </w:t>
      </w:r>
      <w:r w:rsidR="007D66C7">
        <w:rPr>
          <w:lang w:val="fr-FR"/>
        </w:rPr>
        <w:t>pour l’</w:t>
      </w:r>
      <w:r w:rsidR="00CA3302">
        <w:rPr>
          <w:lang w:val="fr-FR"/>
        </w:rPr>
        <w:t>EPTZ</w:t>
      </w:r>
      <w:r w:rsidR="00D95F27" w:rsidRPr="00D95F27">
        <w:rPr>
          <w:lang w:val="fr-FR"/>
        </w:rPr>
        <w:t xml:space="preserve">. </w:t>
      </w:r>
      <w:r w:rsidR="0002041A">
        <w:rPr>
          <w:lang w:val="fr-FR"/>
        </w:rPr>
        <w:t xml:space="preserve">Cet </w:t>
      </w:r>
      <w:r w:rsidR="00D95F27" w:rsidRPr="00D95F27">
        <w:rPr>
          <w:lang w:val="fr-FR"/>
        </w:rPr>
        <w:t xml:space="preserve">écart </w:t>
      </w:r>
      <w:r w:rsidR="001E407B">
        <w:rPr>
          <w:lang w:val="fr-FR"/>
        </w:rPr>
        <w:t xml:space="preserve">est </w:t>
      </w:r>
      <w:r w:rsidR="00D95F27" w:rsidRPr="00D95F27">
        <w:rPr>
          <w:lang w:val="fr-FR"/>
        </w:rPr>
        <w:t>confirmé par un écart d</w:t>
      </w:r>
      <w:r w:rsidR="0002041A">
        <w:rPr>
          <w:lang w:val="fr-FR"/>
        </w:rPr>
        <w:t xml:space="preserve">’un </w:t>
      </w:r>
      <w:r w:rsidR="00D95F27" w:rsidRPr="00D95F27">
        <w:rPr>
          <w:lang w:val="fr-FR"/>
        </w:rPr>
        <w:lastRenderedPageBreak/>
        <w:t>ordre de grandeur entre le nombre</w:t>
      </w:r>
      <w:r w:rsidR="0002041A">
        <w:rPr>
          <w:lang w:val="fr-FR"/>
        </w:rPr>
        <w:t xml:space="preserve"> annuel</w:t>
      </w:r>
      <w:r w:rsidR="00D95F27" w:rsidRPr="00D95F27">
        <w:rPr>
          <w:lang w:val="fr-FR"/>
        </w:rPr>
        <w:t xml:space="preserve"> </w:t>
      </w:r>
      <w:r w:rsidR="0002041A">
        <w:rPr>
          <w:lang w:val="fr-FR"/>
        </w:rPr>
        <w:t>d’</w:t>
      </w:r>
      <w:r w:rsidR="00CA3302">
        <w:rPr>
          <w:lang w:val="fr-FR"/>
        </w:rPr>
        <w:t>EPTZ</w:t>
      </w:r>
      <w:r w:rsidR="0002041A">
        <w:rPr>
          <w:lang w:val="fr-FR"/>
        </w:rPr>
        <w:t xml:space="preserve"> simulé</w:t>
      </w:r>
      <w:r w:rsidR="00D95F27" w:rsidRPr="00D95F27">
        <w:rPr>
          <w:lang w:val="fr-FR"/>
        </w:rPr>
        <w:t xml:space="preserve">s </w:t>
      </w:r>
      <w:r w:rsidR="00F57E68">
        <w:rPr>
          <w:lang w:val="fr-FR"/>
        </w:rPr>
        <w:t xml:space="preserve">–  400 000 –  </w:t>
      </w:r>
      <w:r w:rsidR="00D95F27" w:rsidRPr="00D95F27">
        <w:rPr>
          <w:lang w:val="fr-FR"/>
        </w:rPr>
        <w:t xml:space="preserve">et </w:t>
      </w:r>
      <w:r w:rsidR="0002041A">
        <w:rPr>
          <w:lang w:val="fr-FR"/>
        </w:rPr>
        <w:t xml:space="preserve">les EPTZ effectivement contractés </w:t>
      </w:r>
      <w:r w:rsidR="00F57E68">
        <w:rPr>
          <w:lang w:val="fr-FR"/>
        </w:rPr>
        <w:t xml:space="preserve">– </w:t>
      </w:r>
      <w:r w:rsidR="00D95F27" w:rsidRPr="00D95F27">
        <w:rPr>
          <w:lang w:val="fr-FR"/>
        </w:rPr>
        <w:t>40.000 en moyenne enreg</w:t>
      </w:r>
      <w:r w:rsidR="00222E53">
        <w:rPr>
          <w:lang w:val="fr-FR"/>
        </w:rPr>
        <w:t>istrés entre 2013 et 2016 par l’</w:t>
      </w:r>
      <w:r w:rsidR="00D95F27" w:rsidRPr="00D95F27">
        <w:rPr>
          <w:lang w:val="fr-FR"/>
        </w:rPr>
        <w:t xml:space="preserve">autorité </w:t>
      </w:r>
      <w:r w:rsidR="00222E53">
        <w:rPr>
          <w:lang w:val="fr-FR"/>
        </w:rPr>
        <w:t xml:space="preserve">qui suit le dispositif </w:t>
      </w:r>
      <w:r w:rsidR="00D95F27" w:rsidRPr="00F27F4A">
        <w:rPr>
          <w:lang w:val="fr-FR"/>
        </w:rPr>
        <w:t>(SGFGAS</w:t>
      </w:r>
      <w:r w:rsidR="00222E53">
        <w:rPr>
          <w:lang w:val="fr-FR"/>
        </w:rPr>
        <w:t>). Un tel</w:t>
      </w:r>
      <w:r w:rsidR="00D95F27" w:rsidRPr="00D95F27">
        <w:rPr>
          <w:lang w:val="fr-FR"/>
        </w:rPr>
        <w:t xml:space="preserve"> </w:t>
      </w:r>
      <w:r w:rsidR="00222E53">
        <w:rPr>
          <w:lang w:val="fr-FR"/>
        </w:rPr>
        <w:t xml:space="preserve">écart </w:t>
      </w:r>
      <w:r w:rsidR="00D95F27" w:rsidRPr="00D95F27">
        <w:rPr>
          <w:lang w:val="fr-FR"/>
        </w:rPr>
        <w:t xml:space="preserve">met en évidence des </w:t>
      </w:r>
      <w:r w:rsidR="00222E53">
        <w:rPr>
          <w:lang w:val="fr-FR"/>
        </w:rPr>
        <w:t>barrières potentielles non prises en compte dans la modélisation</w:t>
      </w:r>
      <w:r w:rsidR="00D95F27" w:rsidRPr="00D95F27">
        <w:rPr>
          <w:lang w:val="fr-FR"/>
        </w:rPr>
        <w:t xml:space="preserve"> : du côté de la demande, on </w:t>
      </w:r>
      <w:r w:rsidR="00F57E68">
        <w:rPr>
          <w:lang w:val="fr-FR"/>
        </w:rPr>
        <w:t xml:space="preserve">pense </w:t>
      </w:r>
      <w:r w:rsidR="00D95F27" w:rsidRPr="00D95F27">
        <w:rPr>
          <w:lang w:val="fr-FR"/>
        </w:rPr>
        <w:t xml:space="preserve">à des </w:t>
      </w:r>
      <w:r w:rsidR="00222E53">
        <w:rPr>
          <w:lang w:val="fr-FR"/>
        </w:rPr>
        <w:t>barrières cognitives</w:t>
      </w:r>
      <w:r w:rsidR="00D95F27" w:rsidRPr="00D95F27">
        <w:rPr>
          <w:lang w:val="fr-FR"/>
        </w:rPr>
        <w:t xml:space="preserve"> qui empêchent les emprunteurs </w:t>
      </w:r>
      <w:r w:rsidR="00222E53">
        <w:rPr>
          <w:lang w:val="fr-FR"/>
        </w:rPr>
        <w:t>d’exprimer les gains d’intérêts en subvention équivalente</w:t>
      </w:r>
      <w:r w:rsidR="0074255C">
        <w:rPr>
          <w:lang w:val="fr-FR"/>
        </w:rPr>
        <w:t xml:space="preserve"> ; du côté de l’</w:t>
      </w:r>
      <w:r w:rsidR="00D95F27" w:rsidRPr="00D95F27">
        <w:rPr>
          <w:lang w:val="fr-FR"/>
        </w:rPr>
        <w:t xml:space="preserve">offre, on peut </w:t>
      </w:r>
      <w:r w:rsidR="0074255C">
        <w:rPr>
          <w:lang w:val="fr-FR"/>
        </w:rPr>
        <w:t>imaginer</w:t>
      </w:r>
      <w:r w:rsidR="00D95F27" w:rsidRPr="00D95F27">
        <w:rPr>
          <w:lang w:val="fr-FR"/>
        </w:rPr>
        <w:t xml:space="preserve"> </w:t>
      </w:r>
      <w:r w:rsidR="0074255C">
        <w:rPr>
          <w:lang w:val="fr-FR"/>
        </w:rPr>
        <w:t xml:space="preserve">un </w:t>
      </w:r>
      <w:r w:rsidR="00D95F27" w:rsidRPr="00D95F27">
        <w:rPr>
          <w:lang w:val="fr-FR"/>
        </w:rPr>
        <w:t xml:space="preserve">comportement stratégique des établissements de crédit, qui </w:t>
      </w:r>
      <w:r w:rsidR="00F242DA">
        <w:rPr>
          <w:lang w:val="fr-FR"/>
        </w:rPr>
        <w:t>privilégient leurs offres commerciales de crédit à la consommation au détriment des offres d’EPTZ</w:t>
      </w:r>
      <w:r w:rsidR="00D95F27" w:rsidRPr="00D95F27">
        <w:rPr>
          <w:lang w:val="fr-FR"/>
        </w:rPr>
        <w:t xml:space="preserve">. </w:t>
      </w:r>
      <w:r w:rsidR="00001781">
        <w:rPr>
          <w:lang w:val="fr-FR"/>
        </w:rPr>
        <w:t>Ces questions constituent une perspective de recherche intéressante en microéconomie</w:t>
      </w:r>
      <w:r w:rsidR="00D95F27" w:rsidRPr="00D95F27">
        <w:rPr>
          <w:lang w:val="fr-FR"/>
        </w:rPr>
        <w:t xml:space="preserve"> appliqué</w:t>
      </w:r>
      <w:r w:rsidR="00001781">
        <w:rPr>
          <w:lang w:val="fr-FR"/>
        </w:rPr>
        <w:t>e</w:t>
      </w:r>
      <w:r w:rsidR="00D95F27" w:rsidRPr="00D95F27">
        <w:rPr>
          <w:lang w:val="fr-FR"/>
        </w:rPr>
        <w:t xml:space="preserve">. Malgré cette </w:t>
      </w:r>
      <w:r w:rsidR="00D06018">
        <w:rPr>
          <w:lang w:val="fr-FR"/>
        </w:rPr>
        <w:t>limite</w:t>
      </w:r>
      <w:r w:rsidR="00D95F27" w:rsidRPr="00D95F27">
        <w:rPr>
          <w:lang w:val="fr-FR"/>
        </w:rPr>
        <w:t xml:space="preserve">, les projections de coûts suggèrent que, toutes politiques confondues </w:t>
      </w:r>
      <w:r w:rsidR="00D06018">
        <w:rPr>
          <w:lang w:val="fr-FR"/>
        </w:rPr>
        <w:t xml:space="preserve">– qu’elles soient financées par le secteur public </w:t>
      </w:r>
      <w:r w:rsidR="00D95F27" w:rsidRPr="00D95F27">
        <w:rPr>
          <w:lang w:val="fr-FR"/>
        </w:rPr>
        <w:t>(</w:t>
      </w:r>
      <w:r w:rsidR="00CA3302">
        <w:rPr>
          <w:lang w:val="fr-FR"/>
        </w:rPr>
        <w:t>TC</w:t>
      </w:r>
      <w:r w:rsidR="00D95F27" w:rsidRPr="00D95F27">
        <w:rPr>
          <w:lang w:val="fr-FR"/>
        </w:rPr>
        <w:t xml:space="preserve">, </w:t>
      </w:r>
      <w:r w:rsidR="00CA3302">
        <w:rPr>
          <w:lang w:val="fr-FR"/>
        </w:rPr>
        <w:t>EPTZ</w:t>
      </w:r>
      <w:r w:rsidR="00D95F27" w:rsidRPr="00D95F27">
        <w:rPr>
          <w:lang w:val="fr-FR"/>
        </w:rPr>
        <w:t xml:space="preserve">, </w:t>
      </w:r>
      <w:r w:rsidR="00CA3302">
        <w:rPr>
          <w:lang w:val="fr-FR"/>
        </w:rPr>
        <w:t>CITE</w:t>
      </w:r>
      <w:r w:rsidR="00D06018">
        <w:rPr>
          <w:lang w:val="fr-FR"/>
        </w:rPr>
        <w:t>, TVA</w:t>
      </w:r>
      <w:r w:rsidR="00BB31A9">
        <w:rPr>
          <w:lang w:val="fr-FR"/>
        </w:rPr>
        <w:t>r</w:t>
      </w:r>
      <w:r w:rsidR="00D06018">
        <w:rPr>
          <w:lang w:val="fr-FR"/>
        </w:rPr>
        <w:t>) ou privé</w:t>
      </w:r>
      <w:r w:rsidR="00D95F27" w:rsidRPr="00D95F27">
        <w:rPr>
          <w:lang w:val="fr-FR"/>
        </w:rPr>
        <w:t xml:space="preserve"> (</w:t>
      </w:r>
      <w:r w:rsidR="00CA3302">
        <w:rPr>
          <w:lang w:val="fr-FR"/>
        </w:rPr>
        <w:t>CEE</w:t>
      </w:r>
      <w:r w:rsidR="00D95F27" w:rsidRPr="00D95F27">
        <w:rPr>
          <w:lang w:val="fr-FR"/>
        </w:rPr>
        <w:t>)</w:t>
      </w:r>
      <w:r w:rsidR="00D06018">
        <w:rPr>
          <w:lang w:val="fr-FR"/>
        </w:rPr>
        <w:t xml:space="preserve"> – les </w:t>
      </w:r>
      <w:r w:rsidR="00D95F27" w:rsidRPr="00D95F27">
        <w:rPr>
          <w:lang w:val="fr-FR"/>
        </w:rPr>
        <w:t xml:space="preserve">recettes </w:t>
      </w:r>
      <w:r w:rsidR="00D06018">
        <w:rPr>
          <w:lang w:val="fr-FR"/>
        </w:rPr>
        <w:t xml:space="preserve">de taxe sur l’énergie </w:t>
      </w:r>
      <w:r w:rsidR="00D95F27" w:rsidRPr="00D95F27">
        <w:rPr>
          <w:lang w:val="fr-FR"/>
        </w:rPr>
        <w:t xml:space="preserve">dépasseront les </w:t>
      </w:r>
      <w:r w:rsidR="00D06018">
        <w:rPr>
          <w:lang w:val="fr-FR"/>
        </w:rPr>
        <w:t xml:space="preserve">dépenses de </w:t>
      </w:r>
      <w:r w:rsidR="00D95F27" w:rsidRPr="00D95F27">
        <w:rPr>
          <w:lang w:val="fr-FR"/>
        </w:rPr>
        <w:t xml:space="preserve">subventions </w:t>
      </w:r>
      <w:r w:rsidR="00795ACD">
        <w:rPr>
          <w:lang w:val="fr-FR"/>
        </w:rPr>
        <w:t xml:space="preserve">à partir </w:t>
      </w:r>
      <w:r>
        <w:rPr>
          <w:lang w:val="fr-FR"/>
        </w:rPr>
        <w:t>2025 (Figure 11</w:t>
      </w:r>
      <w:r w:rsidR="00D95F27" w:rsidRPr="00D95F27">
        <w:rPr>
          <w:lang w:val="fr-FR"/>
        </w:rPr>
        <w:t>)</w:t>
      </w:r>
      <w:r w:rsidR="008C5A46">
        <w:rPr>
          <w:rStyle w:val="Appelnotedebasdep"/>
          <w:lang w:val="fr-FR"/>
        </w:rPr>
        <w:footnoteReference w:id="11"/>
      </w:r>
      <w:r w:rsidR="00D95F27" w:rsidRPr="00D95F27">
        <w:rPr>
          <w:lang w:val="fr-FR"/>
        </w:rPr>
        <w:t xml:space="preserve">.  </w:t>
      </w:r>
      <w:r w:rsidR="00D740F3">
        <w:rPr>
          <w:lang w:val="fr-FR"/>
        </w:rPr>
        <w:t>Ce résultat</w:t>
      </w:r>
      <w:r w:rsidR="00D95F27" w:rsidRPr="00D95F27">
        <w:rPr>
          <w:lang w:val="fr-FR"/>
        </w:rPr>
        <w:t xml:space="preserve"> ouvre la voie à une coordination </w:t>
      </w:r>
      <w:r w:rsidR="00D740F3">
        <w:rPr>
          <w:lang w:val="fr-FR"/>
        </w:rPr>
        <w:t>plus étroite entre dépenses et recettes fiscales liées à la rénovation énergétique</w:t>
      </w:r>
      <w:r w:rsidR="00D95F27" w:rsidRPr="00D95F27">
        <w:rPr>
          <w:lang w:val="fr-FR"/>
        </w:rPr>
        <w:t>. Le coût net des polices s'élève à 3 milliards d'euros pour la première an</w:t>
      </w:r>
      <w:r w:rsidR="00D740F3">
        <w:rPr>
          <w:lang w:val="fr-FR"/>
        </w:rPr>
        <w:t>née 2012. Dans le même temps, l’</w:t>
      </w:r>
      <w:r w:rsidR="00D95F27" w:rsidRPr="00D95F27">
        <w:rPr>
          <w:lang w:val="fr-FR"/>
        </w:rPr>
        <w:t>investissement total dans la rénovation é</w:t>
      </w:r>
      <w:r w:rsidR="00D740F3">
        <w:rPr>
          <w:lang w:val="fr-FR"/>
        </w:rPr>
        <w:t>nergétique résidentielle s’</w:t>
      </w:r>
      <w:r w:rsidR="00D95F27" w:rsidRPr="00D95F27">
        <w:rPr>
          <w:lang w:val="fr-FR"/>
        </w:rPr>
        <w:t xml:space="preserve">élève à 7,5 milliards d'euros dans le scénario ZP, 10 milliards dans le scénario </w:t>
      </w:r>
      <w:r w:rsidR="008C5A46">
        <w:rPr>
          <w:lang w:val="fr-FR"/>
        </w:rPr>
        <w:t>TP</w:t>
      </w:r>
      <w:r w:rsidR="00D95F27" w:rsidRPr="00D95F27">
        <w:rPr>
          <w:lang w:val="fr-FR"/>
        </w:rPr>
        <w:t xml:space="preserve"> et 12,5 milliards dans les deux scénarios </w:t>
      </w:r>
      <w:r w:rsidR="008C5A46">
        <w:rPr>
          <w:lang w:val="fr-FR"/>
        </w:rPr>
        <w:t>TP</w:t>
      </w:r>
      <w:r w:rsidR="00D95F27" w:rsidRPr="00D95F27">
        <w:rPr>
          <w:lang w:val="fr-FR"/>
        </w:rPr>
        <w:t xml:space="preserve">+ et </w:t>
      </w:r>
      <w:r w:rsidR="008C5A46">
        <w:rPr>
          <w:lang w:val="fr-FR"/>
        </w:rPr>
        <w:t>TP</w:t>
      </w:r>
      <w:r w:rsidR="00D95F27" w:rsidRPr="00D95F27">
        <w:rPr>
          <w:lang w:val="fr-FR"/>
        </w:rPr>
        <w:t>-</w:t>
      </w:r>
      <w:r w:rsidR="008C5A46">
        <w:rPr>
          <w:lang w:val="fr-FR"/>
        </w:rPr>
        <w:t>DPL</w:t>
      </w:r>
      <w:r w:rsidR="00D95F27" w:rsidRPr="00D95F27">
        <w:rPr>
          <w:lang w:val="fr-FR"/>
        </w:rPr>
        <w:t>.</w:t>
      </w:r>
    </w:p>
    <w:p w14:paraId="31EC27C4" w14:textId="5F83D7CF" w:rsidR="0017037F" w:rsidRPr="00C912D0" w:rsidRDefault="00CF63DC" w:rsidP="0017037F">
      <w:pPr>
        <w:keepNext/>
        <w:jc w:val="center"/>
        <w:rPr>
          <w:lang w:val="en-GB"/>
        </w:rPr>
      </w:pPr>
      <w:r>
        <w:rPr>
          <w:noProof/>
        </w:rPr>
        <w:drawing>
          <wp:inline distT="0" distB="0" distL="0" distR="0" wp14:anchorId="5FFB17B5" wp14:editId="56388D8A">
            <wp:extent cx="3709987" cy="2073901"/>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0381" cy="2074122"/>
                    </a:xfrm>
                    <a:prstGeom prst="rect">
                      <a:avLst/>
                    </a:prstGeom>
                    <a:noFill/>
                    <a:ln>
                      <a:noFill/>
                    </a:ln>
                    <a:effectLst/>
                    <a:extLst/>
                  </pic:spPr>
                </pic:pic>
              </a:graphicData>
            </a:graphic>
          </wp:inline>
        </w:drawing>
      </w:r>
    </w:p>
    <w:p w14:paraId="4BBE5522" w14:textId="09297011" w:rsidR="0017037F" w:rsidRPr="000D3843" w:rsidRDefault="0017037F" w:rsidP="0017037F">
      <w:pPr>
        <w:pStyle w:val="Lgende"/>
        <w:jc w:val="center"/>
        <w:rPr>
          <w:lang w:val="fr-FR"/>
        </w:rPr>
      </w:pPr>
      <w:r w:rsidRPr="000D3843">
        <w:rPr>
          <w:lang w:val="fr-FR"/>
        </w:rPr>
        <w:t xml:space="preserve">Figure </w:t>
      </w:r>
      <w:r w:rsidR="005771E8" w:rsidRPr="00651FA3">
        <w:rPr>
          <w:lang w:val="en-GB"/>
        </w:rPr>
        <w:fldChar w:fldCharType="begin"/>
      </w:r>
      <w:r w:rsidR="005771E8" w:rsidRPr="000D3843">
        <w:rPr>
          <w:lang w:val="fr-FR"/>
        </w:rPr>
        <w:instrText xml:space="preserve"> SEQ Figure \* ARABIC </w:instrText>
      </w:r>
      <w:r w:rsidR="005771E8" w:rsidRPr="00651FA3">
        <w:rPr>
          <w:lang w:val="en-GB"/>
        </w:rPr>
        <w:fldChar w:fldCharType="separate"/>
      </w:r>
      <w:r w:rsidR="000D3843">
        <w:rPr>
          <w:noProof/>
          <w:lang w:val="fr-FR"/>
        </w:rPr>
        <w:t>10</w:t>
      </w:r>
      <w:r w:rsidR="005771E8" w:rsidRPr="00651FA3">
        <w:rPr>
          <w:noProof/>
          <w:lang w:val="en-GB"/>
        </w:rPr>
        <w:fldChar w:fldCharType="end"/>
      </w:r>
      <w:r w:rsidRPr="000D3843">
        <w:rPr>
          <w:lang w:val="fr-FR"/>
        </w:rPr>
        <w:t xml:space="preserve">: </w:t>
      </w:r>
      <w:r w:rsidR="00651FA3" w:rsidRPr="000D3843">
        <w:rPr>
          <w:lang w:val="fr-FR"/>
        </w:rPr>
        <w:t>Coût des politiques</w:t>
      </w:r>
      <w:r w:rsidR="0027137E" w:rsidRPr="000D3843">
        <w:rPr>
          <w:lang w:val="fr-FR"/>
        </w:rPr>
        <w:t xml:space="preserve"> en 2016</w:t>
      </w:r>
    </w:p>
    <w:p w14:paraId="5FD4C567" w14:textId="103A5F8D" w:rsidR="00E34ABF" w:rsidRPr="00C912D0" w:rsidRDefault="00A32C35" w:rsidP="00E34ABF">
      <w:pPr>
        <w:keepNext/>
        <w:jc w:val="center"/>
        <w:rPr>
          <w:lang w:val="en-GB"/>
        </w:rPr>
      </w:pPr>
      <w:r>
        <w:rPr>
          <w:noProof/>
        </w:rPr>
        <w:lastRenderedPageBreak/>
        <w:drawing>
          <wp:inline distT="0" distB="0" distL="0" distR="0" wp14:anchorId="3AC66F44" wp14:editId="080D8AE4">
            <wp:extent cx="4672012" cy="2334870"/>
            <wp:effectExtent l="0" t="0" r="0" b="8890"/>
            <wp:docPr id="1" name="Image 1" descr="C:\Users\Admin\Documents\GIRAUDET\Research\Res-IRF\FuelPoverty\ECOLEC\polc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GIRAUDET\Research\Res-IRF\FuelPoverty\ECOLEC\polcum.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2509" cy="2335118"/>
                    </a:xfrm>
                    <a:prstGeom prst="rect">
                      <a:avLst/>
                    </a:prstGeom>
                    <a:noFill/>
                    <a:ln>
                      <a:noFill/>
                    </a:ln>
                  </pic:spPr>
                </pic:pic>
              </a:graphicData>
            </a:graphic>
          </wp:inline>
        </w:drawing>
      </w:r>
    </w:p>
    <w:p w14:paraId="00A5E846" w14:textId="0D54451A" w:rsidR="00E34ABF" w:rsidRPr="009764F1" w:rsidRDefault="00E34ABF" w:rsidP="00E34ABF">
      <w:pPr>
        <w:pStyle w:val="Lgende"/>
        <w:jc w:val="center"/>
        <w:rPr>
          <w:lang w:val="fr-FR"/>
        </w:rPr>
      </w:pPr>
      <w:r w:rsidRPr="009764F1">
        <w:rPr>
          <w:lang w:val="fr-FR"/>
        </w:rPr>
        <w:t xml:space="preserve">Figure </w:t>
      </w:r>
      <w:r w:rsidR="005771E8" w:rsidRPr="00C912D0">
        <w:rPr>
          <w:lang w:val="en-GB"/>
        </w:rPr>
        <w:fldChar w:fldCharType="begin"/>
      </w:r>
      <w:r w:rsidR="005771E8" w:rsidRPr="009764F1">
        <w:rPr>
          <w:lang w:val="fr-FR"/>
        </w:rPr>
        <w:instrText xml:space="preserve"> SEQ Figure \* ARABIC </w:instrText>
      </w:r>
      <w:r w:rsidR="005771E8" w:rsidRPr="00C912D0">
        <w:rPr>
          <w:lang w:val="en-GB"/>
        </w:rPr>
        <w:fldChar w:fldCharType="separate"/>
      </w:r>
      <w:r w:rsidR="000D3843">
        <w:rPr>
          <w:noProof/>
          <w:lang w:val="fr-FR"/>
        </w:rPr>
        <w:t>11</w:t>
      </w:r>
      <w:r w:rsidR="005771E8" w:rsidRPr="00C912D0">
        <w:rPr>
          <w:noProof/>
          <w:lang w:val="en-GB"/>
        </w:rPr>
        <w:fldChar w:fldCharType="end"/>
      </w:r>
      <w:r w:rsidRPr="009764F1">
        <w:rPr>
          <w:lang w:val="fr-FR"/>
        </w:rPr>
        <w:t xml:space="preserve">: </w:t>
      </w:r>
      <w:r w:rsidR="001322BA">
        <w:rPr>
          <w:lang w:val="fr-FR"/>
        </w:rPr>
        <w:t>Evolution du coût des politiques</w:t>
      </w:r>
    </w:p>
    <w:p w14:paraId="77CC6F76" w14:textId="5A47BCA7" w:rsidR="006E5512" w:rsidRPr="00D95F27" w:rsidRDefault="00F31B58" w:rsidP="00455221">
      <w:pPr>
        <w:rPr>
          <w:lang w:val="fr-FR"/>
        </w:rPr>
      </w:pPr>
      <w:r>
        <w:rPr>
          <w:lang w:val="fr-FR"/>
        </w:rPr>
        <w:t>La Figure 12</w:t>
      </w:r>
      <w:r w:rsidR="00D95F27" w:rsidRPr="00D95F27">
        <w:rPr>
          <w:lang w:val="fr-FR"/>
        </w:rPr>
        <w:t xml:space="preserve"> compare le rapport coût-efficacité de chaque instrument, mesuré selon la méthode décrite à la section 3.3.2. </w:t>
      </w:r>
      <w:r w:rsidR="006A13EF">
        <w:rPr>
          <w:lang w:val="fr-FR"/>
        </w:rPr>
        <w:t xml:space="preserve">Exprimé en énergie réelle, l’indicateur suggère que </w:t>
      </w:r>
      <w:r w:rsidR="00D95F27" w:rsidRPr="00D95F27">
        <w:rPr>
          <w:lang w:val="fr-FR"/>
        </w:rPr>
        <w:t xml:space="preserve">la taxe sur le carbone est moins </w:t>
      </w:r>
      <w:r w:rsidR="006A13EF">
        <w:rPr>
          <w:lang w:val="fr-FR"/>
        </w:rPr>
        <w:t xml:space="preserve">efficiente </w:t>
      </w:r>
      <w:r w:rsidR="00D95F27" w:rsidRPr="00D95F27">
        <w:rPr>
          <w:lang w:val="fr-FR"/>
        </w:rPr>
        <w:t>que les subventions. Les subventions permettent d</w:t>
      </w:r>
      <w:r w:rsidR="006A13EF">
        <w:rPr>
          <w:lang w:val="fr-FR"/>
        </w:rPr>
        <w:t>’</w:t>
      </w:r>
      <w:r w:rsidR="00D95F27" w:rsidRPr="00D95F27">
        <w:rPr>
          <w:lang w:val="fr-FR"/>
        </w:rPr>
        <w:t xml:space="preserve">économiser </w:t>
      </w:r>
      <w:r w:rsidR="006A13EF">
        <w:rPr>
          <w:lang w:val="fr-FR"/>
        </w:rPr>
        <w:t>l’</w:t>
      </w:r>
      <w:r w:rsidR="00D95F27" w:rsidRPr="00D95F27">
        <w:rPr>
          <w:lang w:val="fr-FR"/>
        </w:rPr>
        <w:t xml:space="preserve">énergie </w:t>
      </w:r>
      <w:r w:rsidR="006A13EF">
        <w:rPr>
          <w:lang w:val="fr-FR"/>
        </w:rPr>
        <w:t xml:space="preserve">à un coût de </w:t>
      </w:r>
      <w:r w:rsidR="00D95F27" w:rsidRPr="00D95F27">
        <w:rPr>
          <w:lang w:val="fr-FR"/>
        </w:rPr>
        <w:t xml:space="preserve">0,05 à 0,08€ par kWh </w:t>
      </w:r>
      <w:r w:rsidR="006A13EF">
        <w:rPr>
          <w:lang w:val="fr-FR"/>
        </w:rPr>
        <w:t xml:space="preserve">cumac </w:t>
      </w:r>
      <w:r w:rsidR="00D95F27" w:rsidRPr="00D95F27">
        <w:rPr>
          <w:lang w:val="fr-FR"/>
        </w:rPr>
        <w:t xml:space="preserve">en 2015 ; </w:t>
      </w:r>
      <w:r w:rsidR="00EF6B60">
        <w:rPr>
          <w:lang w:val="fr-FR"/>
        </w:rPr>
        <w:t xml:space="preserve">le </w:t>
      </w:r>
      <w:r w:rsidR="00CA3302">
        <w:rPr>
          <w:lang w:val="fr-FR"/>
        </w:rPr>
        <w:t>CITE</w:t>
      </w:r>
      <w:r w:rsidR="00D95F27" w:rsidRPr="00D95F27">
        <w:rPr>
          <w:lang w:val="fr-FR"/>
        </w:rPr>
        <w:t xml:space="preserve"> est la moins efficace</w:t>
      </w:r>
      <w:r w:rsidR="00047D0A">
        <w:rPr>
          <w:lang w:val="fr-FR"/>
        </w:rPr>
        <w:t xml:space="preserve"> d’entre elles</w:t>
      </w:r>
      <w:r w:rsidR="00D95F27" w:rsidRPr="00D95F27">
        <w:rPr>
          <w:lang w:val="fr-FR"/>
        </w:rPr>
        <w:t>. L</w:t>
      </w:r>
      <w:r w:rsidR="00CE2DA4">
        <w:rPr>
          <w:lang w:val="fr-FR"/>
        </w:rPr>
        <w:t>’</w:t>
      </w:r>
      <w:r w:rsidR="00D95F27" w:rsidRPr="00D95F27">
        <w:rPr>
          <w:lang w:val="fr-FR"/>
        </w:rPr>
        <w:t xml:space="preserve">indicateur augmente </w:t>
      </w:r>
      <w:r w:rsidR="00CE2DA4">
        <w:rPr>
          <w:lang w:val="fr-FR"/>
        </w:rPr>
        <w:t xml:space="preserve">au cours du </w:t>
      </w:r>
      <w:r w:rsidR="00D95F27" w:rsidRPr="00D95F27">
        <w:rPr>
          <w:lang w:val="fr-FR"/>
        </w:rPr>
        <w:t xml:space="preserve">temps à mesure que </w:t>
      </w:r>
      <w:r w:rsidR="00CE2DA4">
        <w:rPr>
          <w:lang w:val="fr-FR"/>
        </w:rPr>
        <w:t xml:space="preserve">le potentiel </w:t>
      </w:r>
      <w:r w:rsidR="00D95F27" w:rsidRPr="00D95F27">
        <w:rPr>
          <w:lang w:val="fr-FR"/>
        </w:rPr>
        <w:t>d</w:t>
      </w:r>
      <w:r w:rsidR="00CE2DA4">
        <w:rPr>
          <w:lang w:val="fr-FR"/>
        </w:rPr>
        <w:t>’</w:t>
      </w:r>
      <w:r w:rsidR="00D95F27" w:rsidRPr="00D95F27">
        <w:rPr>
          <w:lang w:val="fr-FR"/>
        </w:rPr>
        <w:t xml:space="preserve">économies d'énergie </w:t>
      </w:r>
      <w:r w:rsidR="00CE2DA4">
        <w:rPr>
          <w:lang w:val="fr-FR"/>
        </w:rPr>
        <w:t>se réduit</w:t>
      </w:r>
      <w:r w:rsidR="00D95F27" w:rsidRPr="00D95F27">
        <w:rPr>
          <w:lang w:val="fr-FR"/>
        </w:rPr>
        <w:t xml:space="preserve">. </w:t>
      </w:r>
      <w:r w:rsidR="00983364">
        <w:rPr>
          <w:lang w:val="fr-FR"/>
        </w:rPr>
        <w:t>L’indicateur offre une image différente lorsqu’il est exprimé en énergie réelle, avec notamment une inversion de l’</w:t>
      </w:r>
      <w:r w:rsidR="00D95F27" w:rsidRPr="00D95F27">
        <w:rPr>
          <w:lang w:val="fr-FR"/>
        </w:rPr>
        <w:t xml:space="preserve">ordre de mérite entre taxe et subventions. </w:t>
      </w:r>
      <w:r w:rsidR="007B4855">
        <w:rPr>
          <w:lang w:val="fr-FR"/>
        </w:rPr>
        <w:t>Comme discuté à la</w:t>
      </w:r>
      <w:r w:rsidR="00D95F27" w:rsidRPr="00D95F27">
        <w:rPr>
          <w:lang w:val="fr-FR"/>
        </w:rPr>
        <w:t xml:space="preserve"> section 3.3.2, </w:t>
      </w:r>
      <w:r w:rsidR="007B4855">
        <w:rPr>
          <w:lang w:val="fr-FR"/>
        </w:rPr>
        <w:t>cette inversion est due au fait que la taxe induit</w:t>
      </w:r>
      <w:r w:rsidR="00D95F27" w:rsidRPr="00D95F27">
        <w:rPr>
          <w:lang w:val="fr-FR"/>
        </w:rPr>
        <w:t xml:space="preserve"> des variations de </w:t>
      </w:r>
      <w:r w:rsidR="007B4855">
        <w:rPr>
          <w:lang w:val="fr-FR"/>
        </w:rPr>
        <w:t xml:space="preserve">l’intensité d’utilisation </w:t>
      </w:r>
      <w:r w:rsidR="00D95F27" w:rsidRPr="00D95F27">
        <w:rPr>
          <w:lang w:val="fr-FR"/>
        </w:rPr>
        <w:t xml:space="preserve">non prises en compte par </w:t>
      </w:r>
      <w:r w:rsidR="007B4855">
        <w:rPr>
          <w:lang w:val="fr-FR"/>
        </w:rPr>
        <w:t>l’indicateur en énergie conventionnelle</w:t>
      </w:r>
      <w:r w:rsidR="00D95F27" w:rsidRPr="00D95F27">
        <w:rPr>
          <w:lang w:val="fr-FR"/>
        </w:rPr>
        <w:t xml:space="preserve">. Dans le même ordre </w:t>
      </w:r>
      <w:r w:rsidR="007B4855">
        <w:rPr>
          <w:lang w:val="fr-FR"/>
        </w:rPr>
        <w:t>d’</w:t>
      </w:r>
      <w:r w:rsidR="00D95F27" w:rsidRPr="00D95F27">
        <w:rPr>
          <w:lang w:val="fr-FR"/>
        </w:rPr>
        <w:t xml:space="preserve">idées, </w:t>
      </w:r>
      <w:r w:rsidR="007B4855">
        <w:rPr>
          <w:lang w:val="fr-FR"/>
        </w:rPr>
        <w:t xml:space="preserve">on constate </w:t>
      </w:r>
      <w:r w:rsidR="00D95F27" w:rsidRPr="00D95F27">
        <w:rPr>
          <w:lang w:val="fr-FR"/>
        </w:rPr>
        <w:t>que, contrairement à d</w:t>
      </w:r>
      <w:r w:rsidR="007B4855">
        <w:rPr>
          <w:lang w:val="fr-FR"/>
        </w:rPr>
        <w:t>’</w:t>
      </w:r>
      <w:r w:rsidR="00D95F27" w:rsidRPr="00D95F27">
        <w:rPr>
          <w:lang w:val="fr-FR"/>
        </w:rPr>
        <w:t xml:space="preserve">autres subventions le rapport coût-efficacité </w:t>
      </w:r>
      <w:r w:rsidR="007B4855">
        <w:rPr>
          <w:lang w:val="fr-FR"/>
        </w:rPr>
        <w:t xml:space="preserve">des </w:t>
      </w:r>
      <w:r w:rsidR="00CA3302">
        <w:rPr>
          <w:lang w:val="fr-FR"/>
        </w:rPr>
        <w:t>CEE</w:t>
      </w:r>
      <w:r w:rsidR="00D95F27" w:rsidRPr="00D95F27">
        <w:rPr>
          <w:lang w:val="fr-FR"/>
        </w:rPr>
        <w:t xml:space="preserve"> diminue </w:t>
      </w:r>
      <w:r w:rsidR="007B4855">
        <w:rPr>
          <w:lang w:val="fr-FR"/>
        </w:rPr>
        <w:t>au cours du temps lorsque celui-ci est mesuré en énergie réelle. Ce résultat</w:t>
      </w:r>
      <w:r w:rsidR="00D95F27" w:rsidRPr="00D95F27">
        <w:rPr>
          <w:lang w:val="fr-FR"/>
        </w:rPr>
        <w:t xml:space="preserve"> </w:t>
      </w:r>
      <w:r w:rsidR="007B4855">
        <w:rPr>
          <w:lang w:val="fr-FR"/>
        </w:rPr>
        <w:t>s’</w:t>
      </w:r>
      <w:r w:rsidR="00D95F27" w:rsidRPr="00D95F27">
        <w:rPr>
          <w:lang w:val="fr-FR"/>
        </w:rPr>
        <w:t xml:space="preserve">explique par la composante </w:t>
      </w:r>
      <w:r w:rsidR="007B4855">
        <w:rPr>
          <w:lang w:val="fr-FR"/>
        </w:rPr>
        <w:t>taxe de l’instrument</w:t>
      </w:r>
      <w:r w:rsidR="00D95F27" w:rsidRPr="00D95F27">
        <w:rPr>
          <w:lang w:val="fr-FR"/>
        </w:rPr>
        <w:t>, qui produit des économies d</w:t>
      </w:r>
      <w:r w:rsidR="007B4855">
        <w:rPr>
          <w:lang w:val="fr-FR"/>
        </w:rPr>
        <w:t>’</w:t>
      </w:r>
      <w:r w:rsidR="00D95F27" w:rsidRPr="00D95F27">
        <w:rPr>
          <w:lang w:val="fr-FR"/>
        </w:rPr>
        <w:t xml:space="preserve">énergie supplémentaires qui ne sont pas attribuables </w:t>
      </w:r>
      <w:r w:rsidR="007B4855">
        <w:rPr>
          <w:lang w:val="fr-FR"/>
        </w:rPr>
        <w:t xml:space="preserve">à la subvention dont le coût est </w:t>
      </w:r>
      <w:r w:rsidR="00D95F27" w:rsidRPr="00D95F27">
        <w:rPr>
          <w:lang w:val="fr-FR"/>
        </w:rPr>
        <w:t>consid</w:t>
      </w:r>
      <w:r w:rsidR="00D95F27">
        <w:rPr>
          <w:lang w:val="fr-FR"/>
        </w:rPr>
        <w:t xml:space="preserve">éré dans </w:t>
      </w:r>
      <w:r w:rsidR="007B4855">
        <w:rPr>
          <w:lang w:val="fr-FR"/>
        </w:rPr>
        <w:t>la construction de l’</w:t>
      </w:r>
      <w:r w:rsidR="00D95F27">
        <w:rPr>
          <w:lang w:val="fr-FR"/>
        </w:rPr>
        <w:t>indice</w:t>
      </w:r>
      <w:r w:rsidR="00C11F79" w:rsidRPr="00D95F27">
        <w:rPr>
          <w:lang w:val="fr-FR"/>
        </w:rPr>
        <w:t>.</w:t>
      </w:r>
      <w:r w:rsidR="00C61743" w:rsidRPr="00C912D0">
        <w:rPr>
          <w:rStyle w:val="Appelnotedebasdep"/>
          <w:lang w:val="en-GB"/>
        </w:rPr>
        <w:footnoteReference w:id="12"/>
      </w:r>
    </w:p>
    <w:p w14:paraId="78DCFE3F" w14:textId="77D569D3" w:rsidR="00425410" w:rsidRPr="00C912D0" w:rsidRDefault="00CF63DC" w:rsidP="00425410">
      <w:pPr>
        <w:keepNext/>
        <w:jc w:val="center"/>
        <w:rPr>
          <w:lang w:val="en-GB"/>
        </w:rPr>
      </w:pPr>
      <w:r w:rsidRPr="00CF63DC">
        <w:rPr>
          <w:rFonts w:ascii="Times New Roman" w:eastAsia="Times New Roman" w:hAnsi="Times New Roman" w:cs="Times New Roman"/>
          <w:noProof/>
          <w:color w:val="000000"/>
          <w:w w:val="0"/>
          <w:sz w:val="0"/>
          <w:szCs w:val="0"/>
          <w:bdr w:val="none" w:sz="0" w:space="0" w:color="000000"/>
          <w:shd w:val="clear" w:color="000000" w:fill="000000"/>
        </w:rPr>
        <w:lastRenderedPageBreak/>
        <w:drawing>
          <wp:inline distT="0" distB="0" distL="0" distR="0" wp14:anchorId="5149B6D1" wp14:editId="13F750D0">
            <wp:extent cx="5431970" cy="2715985"/>
            <wp:effectExtent l="0" t="0" r="0" b="8255"/>
            <wp:docPr id="34" name="Image 34" descr="C:\Users\Admin\AppData\Local\Temp\graphics-CE2_S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graphics-CE2_SD-1-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9875" cy="2719937"/>
                    </a:xfrm>
                    <a:prstGeom prst="rect">
                      <a:avLst/>
                    </a:prstGeom>
                    <a:noFill/>
                    <a:ln>
                      <a:noFill/>
                    </a:ln>
                  </pic:spPr>
                </pic:pic>
              </a:graphicData>
            </a:graphic>
          </wp:inline>
        </w:drawing>
      </w:r>
    </w:p>
    <w:p w14:paraId="5112B058" w14:textId="631B7B7F" w:rsidR="00425410" w:rsidRPr="009764F1" w:rsidRDefault="00425410" w:rsidP="00425410">
      <w:pPr>
        <w:pStyle w:val="Lgende"/>
        <w:jc w:val="center"/>
        <w:rPr>
          <w:lang w:val="fr-FR"/>
        </w:rPr>
      </w:pPr>
      <w:r w:rsidRPr="009764F1">
        <w:rPr>
          <w:lang w:val="fr-FR"/>
        </w:rPr>
        <w:t xml:space="preserve">Figure </w:t>
      </w:r>
      <w:r w:rsidR="005771E8" w:rsidRPr="00C912D0">
        <w:rPr>
          <w:lang w:val="en-GB"/>
        </w:rPr>
        <w:fldChar w:fldCharType="begin"/>
      </w:r>
      <w:r w:rsidR="005771E8" w:rsidRPr="009764F1">
        <w:rPr>
          <w:lang w:val="fr-FR"/>
        </w:rPr>
        <w:instrText xml:space="preserve"> SEQ Figure \* ARABIC </w:instrText>
      </w:r>
      <w:r w:rsidR="005771E8" w:rsidRPr="00C912D0">
        <w:rPr>
          <w:lang w:val="en-GB"/>
        </w:rPr>
        <w:fldChar w:fldCharType="separate"/>
      </w:r>
      <w:r w:rsidR="000D3843">
        <w:rPr>
          <w:noProof/>
          <w:lang w:val="fr-FR"/>
        </w:rPr>
        <w:t>12</w:t>
      </w:r>
      <w:r w:rsidR="005771E8" w:rsidRPr="00C912D0">
        <w:rPr>
          <w:noProof/>
          <w:lang w:val="en-GB"/>
        </w:rPr>
        <w:fldChar w:fldCharType="end"/>
      </w:r>
      <w:r w:rsidRPr="009764F1">
        <w:rPr>
          <w:lang w:val="fr-FR"/>
        </w:rPr>
        <w:t xml:space="preserve">: </w:t>
      </w:r>
      <w:r w:rsidR="005D2A0D">
        <w:rPr>
          <w:lang w:val="fr-FR"/>
        </w:rPr>
        <w:t>Coût-efficacité des politiques</w:t>
      </w:r>
    </w:p>
    <w:p w14:paraId="55040ABE" w14:textId="2C3E6A95" w:rsidR="00A31630" w:rsidRPr="00D95F27" w:rsidRDefault="00D95F27" w:rsidP="00455221">
      <w:pPr>
        <w:rPr>
          <w:lang w:val="fr-FR"/>
        </w:rPr>
      </w:pPr>
      <w:r w:rsidRPr="00D95F27">
        <w:rPr>
          <w:lang w:val="fr-FR"/>
        </w:rPr>
        <w:t xml:space="preserve">La </w:t>
      </w:r>
      <w:r w:rsidR="00F31B58">
        <w:rPr>
          <w:lang w:val="fr-FR"/>
        </w:rPr>
        <w:t>F</w:t>
      </w:r>
      <w:r w:rsidRPr="00D95F27">
        <w:rPr>
          <w:lang w:val="fr-FR"/>
        </w:rPr>
        <w:t>igure 1</w:t>
      </w:r>
      <w:r w:rsidR="00F31B58">
        <w:rPr>
          <w:lang w:val="fr-FR"/>
        </w:rPr>
        <w:t>3</w:t>
      </w:r>
      <w:r w:rsidRPr="00D95F27">
        <w:rPr>
          <w:lang w:val="fr-FR"/>
        </w:rPr>
        <w:t xml:space="preserve"> confir</w:t>
      </w:r>
      <w:r w:rsidR="00837279">
        <w:rPr>
          <w:lang w:val="fr-FR"/>
        </w:rPr>
        <w:t>me c</w:t>
      </w:r>
      <w:r w:rsidRPr="00D95F27">
        <w:rPr>
          <w:lang w:val="fr-FR"/>
        </w:rPr>
        <w:t xml:space="preserve">es résultats </w:t>
      </w:r>
      <w:r w:rsidR="00837279">
        <w:rPr>
          <w:lang w:val="fr-FR"/>
        </w:rPr>
        <w:t xml:space="preserve">à l’aide d’un </w:t>
      </w:r>
      <w:r w:rsidRPr="00D95F27">
        <w:rPr>
          <w:lang w:val="fr-FR"/>
        </w:rPr>
        <w:t>autre indicateur</w:t>
      </w:r>
      <w:r w:rsidR="00837279">
        <w:rPr>
          <w:lang w:val="fr-FR"/>
        </w:rPr>
        <w:t xml:space="preserve"> d’efficience</w:t>
      </w:r>
      <w:r w:rsidRPr="00D95F27">
        <w:rPr>
          <w:lang w:val="fr-FR"/>
        </w:rPr>
        <w:t xml:space="preserve"> : </w:t>
      </w:r>
      <w:r w:rsidR="00D45072">
        <w:rPr>
          <w:lang w:val="fr-FR"/>
        </w:rPr>
        <w:t>l’</w:t>
      </w:r>
      <w:r w:rsidRPr="00D95F27">
        <w:rPr>
          <w:lang w:val="fr-FR"/>
        </w:rPr>
        <w:t xml:space="preserve">effet </w:t>
      </w:r>
      <w:r w:rsidR="00183958">
        <w:rPr>
          <w:lang w:val="fr-FR"/>
        </w:rPr>
        <w:t>levier. Rappelons qu’</w:t>
      </w:r>
      <w:r w:rsidRPr="00D95F27">
        <w:rPr>
          <w:lang w:val="fr-FR"/>
        </w:rPr>
        <w:t xml:space="preserve">un effet levier élevé et un coût par kWh économisé </w:t>
      </w:r>
      <w:r w:rsidR="00183958">
        <w:rPr>
          <w:lang w:val="fr-FR"/>
        </w:rPr>
        <w:t xml:space="preserve">faible sont tous deux synonyme d’une efficience élevée. </w:t>
      </w:r>
      <w:r w:rsidRPr="00D95F27">
        <w:rPr>
          <w:lang w:val="fr-FR"/>
        </w:rPr>
        <w:t xml:space="preserve">Toutefois, </w:t>
      </w:r>
      <w:r w:rsidR="00183958">
        <w:rPr>
          <w:lang w:val="fr-FR"/>
        </w:rPr>
        <w:t>l’</w:t>
      </w:r>
      <w:r w:rsidRPr="00D95F27">
        <w:rPr>
          <w:lang w:val="fr-FR"/>
        </w:rPr>
        <w:t xml:space="preserve">effet levier diminue moins vite que </w:t>
      </w:r>
      <w:r w:rsidR="00183958">
        <w:rPr>
          <w:lang w:val="fr-FR"/>
        </w:rPr>
        <w:t xml:space="preserve">n’augmente le </w:t>
      </w:r>
      <w:r w:rsidRPr="00D95F27">
        <w:rPr>
          <w:lang w:val="fr-FR"/>
        </w:rPr>
        <w:t xml:space="preserve">coût par kWh </w:t>
      </w:r>
      <w:r w:rsidR="00183958">
        <w:rPr>
          <w:lang w:val="fr-FR"/>
        </w:rPr>
        <w:t>économisé, ce qui peut s’</w:t>
      </w:r>
      <w:r w:rsidRPr="00D95F27">
        <w:rPr>
          <w:lang w:val="fr-FR"/>
        </w:rPr>
        <w:t>expliquer par l</w:t>
      </w:r>
      <w:r w:rsidR="00183958">
        <w:rPr>
          <w:lang w:val="fr-FR"/>
        </w:rPr>
        <w:t xml:space="preserve">a </w:t>
      </w:r>
      <w:r w:rsidR="00A32C35">
        <w:rPr>
          <w:lang w:val="fr-FR"/>
        </w:rPr>
        <w:t xml:space="preserve">spécification </w:t>
      </w:r>
      <w:r w:rsidR="00183958">
        <w:rPr>
          <w:lang w:val="fr-FR"/>
        </w:rPr>
        <w:t>marginalement croissante d</w:t>
      </w:r>
      <w:r w:rsidRPr="00D95F27">
        <w:rPr>
          <w:lang w:val="fr-FR"/>
        </w:rPr>
        <w:t xml:space="preserve">es courbes de coût </w:t>
      </w:r>
      <w:r w:rsidR="00183958">
        <w:rPr>
          <w:lang w:val="fr-FR"/>
        </w:rPr>
        <w:t>d’</w:t>
      </w:r>
      <w:r w:rsidRPr="00D95F27">
        <w:rPr>
          <w:lang w:val="fr-FR"/>
        </w:rPr>
        <w:t xml:space="preserve">efficacité énergétique </w:t>
      </w:r>
      <w:r w:rsidR="00183958">
        <w:rPr>
          <w:lang w:val="fr-FR"/>
        </w:rPr>
        <w:t xml:space="preserve">intégrées au </w:t>
      </w:r>
      <w:r w:rsidRPr="00D95F27">
        <w:rPr>
          <w:lang w:val="fr-FR"/>
        </w:rPr>
        <w:t>modèle. L</w:t>
      </w:r>
      <w:r w:rsidR="00183958">
        <w:rPr>
          <w:lang w:val="fr-FR"/>
        </w:rPr>
        <w:t>’</w:t>
      </w:r>
      <w:r w:rsidRPr="00D95F27">
        <w:rPr>
          <w:lang w:val="fr-FR"/>
        </w:rPr>
        <w:t>effet levier des subventions varie de 1 à 1,4 en 2015, ce qui est conforme aux</w:t>
      </w:r>
      <w:r w:rsidR="00183958">
        <w:rPr>
          <w:lang w:val="fr-FR"/>
        </w:rPr>
        <w:t xml:space="preserve"> estimations disponibles pour d’</w:t>
      </w:r>
      <w:r w:rsidRPr="00D95F27">
        <w:rPr>
          <w:lang w:val="fr-FR"/>
        </w:rPr>
        <w:t xml:space="preserve">autres politiques publiques (par exemple, Gobillon et </w:t>
      </w:r>
      <w:proofErr w:type="gramStart"/>
      <w:r w:rsidRPr="00D95F27">
        <w:rPr>
          <w:lang w:val="fr-FR"/>
        </w:rPr>
        <w:t>al.,</w:t>
      </w:r>
      <w:proofErr w:type="gramEnd"/>
      <w:r w:rsidRPr="00D95F27">
        <w:rPr>
          <w:lang w:val="fr-FR"/>
        </w:rPr>
        <w:t xml:space="preserve"> 2005 ; Lentile et Mairesse, 2009). Elle est également cohérente avec l</w:t>
      </w:r>
      <w:r w:rsidR="00B14EB4">
        <w:rPr>
          <w:lang w:val="fr-FR"/>
        </w:rPr>
        <w:t>a similitude d’ordre de grandeur entre</w:t>
      </w:r>
      <w:r w:rsidRPr="00D95F27">
        <w:rPr>
          <w:lang w:val="fr-FR"/>
        </w:rPr>
        <w:t xml:space="preserve"> les indices de coût-efficacité </w:t>
      </w:r>
      <w:r w:rsidR="00B14EB4">
        <w:rPr>
          <w:lang w:val="fr-FR"/>
        </w:rPr>
        <w:t>et</w:t>
      </w:r>
      <w:r w:rsidRPr="00D95F27">
        <w:rPr>
          <w:lang w:val="fr-FR"/>
        </w:rPr>
        <w:t xml:space="preserve"> les coûts </w:t>
      </w:r>
      <w:r w:rsidR="000A20C7">
        <w:rPr>
          <w:lang w:val="fr-FR"/>
        </w:rPr>
        <w:t>moyens incorporés dans le modèle.</w:t>
      </w:r>
    </w:p>
    <w:p w14:paraId="171CEEA5" w14:textId="189C9716" w:rsidR="00425410" w:rsidRPr="00C912D0" w:rsidRDefault="00CF63DC" w:rsidP="00425410">
      <w:pPr>
        <w:keepNext/>
        <w:jc w:val="center"/>
        <w:rPr>
          <w:lang w:val="en-GB"/>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4A5CDBD1" wp14:editId="6769BCF0">
            <wp:extent cx="5464630" cy="2732315"/>
            <wp:effectExtent l="0" t="0" r="3175" b="0"/>
            <wp:docPr id="35" name="Image 35" descr="C:\Users\Admin\AppData\Local\Temp\graphics-Effet_levier_S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graphics-Effet_levier_SD-1-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8107" cy="2734054"/>
                    </a:xfrm>
                    <a:prstGeom prst="rect">
                      <a:avLst/>
                    </a:prstGeom>
                    <a:noFill/>
                    <a:ln>
                      <a:noFill/>
                    </a:ln>
                  </pic:spPr>
                </pic:pic>
              </a:graphicData>
            </a:graphic>
          </wp:inline>
        </w:drawing>
      </w:r>
    </w:p>
    <w:p w14:paraId="4BFBFEB1" w14:textId="7C61AE29" w:rsidR="00425410" w:rsidRPr="000A20C7" w:rsidRDefault="00425410" w:rsidP="00425410">
      <w:pPr>
        <w:pStyle w:val="Lgende"/>
        <w:jc w:val="center"/>
        <w:rPr>
          <w:lang w:val="fr-FR"/>
        </w:rPr>
      </w:pPr>
      <w:r w:rsidRPr="000A20C7">
        <w:rPr>
          <w:lang w:val="fr-FR"/>
        </w:rPr>
        <w:t xml:space="preserve">Figure </w:t>
      </w:r>
      <w:r w:rsidR="005771E8" w:rsidRPr="00C912D0">
        <w:rPr>
          <w:lang w:val="en-GB"/>
        </w:rPr>
        <w:fldChar w:fldCharType="begin"/>
      </w:r>
      <w:r w:rsidR="005771E8" w:rsidRPr="000A20C7">
        <w:rPr>
          <w:lang w:val="fr-FR"/>
        </w:rPr>
        <w:instrText xml:space="preserve"> SEQ Figure \* ARABIC </w:instrText>
      </w:r>
      <w:r w:rsidR="005771E8" w:rsidRPr="00C912D0">
        <w:rPr>
          <w:lang w:val="en-GB"/>
        </w:rPr>
        <w:fldChar w:fldCharType="separate"/>
      </w:r>
      <w:r w:rsidR="000D3843">
        <w:rPr>
          <w:noProof/>
          <w:lang w:val="fr-FR"/>
        </w:rPr>
        <w:t>13</w:t>
      </w:r>
      <w:r w:rsidR="005771E8" w:rsidRPr="00C912D0">
        <w:rPr>
          <w:noProof/>
          <w:lang w:val="en-GB"/>
        </w:rPr>
        <w:fldChar w:fldCharType="end"/>
      </w:r>
      <w:r w:rsidRPr="000A20C7">
        <w:rPr>
          <w:lang w:val="fr-FR"/>
        </w:rPr>
        <w:t xml:space="preserve">: </w:t>
      </w:r>
      <w:r w:rsidR="0013193D" w:rsidRPr="000A20C7">
        <w:rPr>
          <w:lang w:val="fr-FR"/>
        </w:rPr>
        <w:t>Effet levier des politiques</w:t>
      </w:r>
    </w:p>
    <w:p w14:paraId="7C4099FB" w14:textId="51BEABAA" w:rsidR="00D95F27" w:rsidRPr="000A20C7" w:rsidRDefault="00D95F27" w:rsidP="00D95F27">
      <w:pPr>
        <w:rPr>
          <w:lang w:val="fr-FR"/>
        </w:rPr>
      </w:pPr>
      <w:r w:rsidRPr="00D95F27">
        <w:rPr>
          <w:lang w:val="fr-FR"/>
        </w:rPr>
        <w:lastRenderedPageBreak/>
        <w:t xml:space="preserve">Les différents régimes de subvention </w:t>
      </w:r>
      <w:r w:rsidR="000A20C7">
        <w:rPr>
          <w:lang w:val="fr-FR"/>
        </w:rPr>
        <w:t>considérés</w:t>
      </w:r>
      <w:r w:rsidRPr="00D95F27">
        <w:rPr>
          <w:lang w:val="fr-FR"/>
        </w:rPr>
        <w:t xml:space="preserve"> </w:t>
      </w:r>
      <w:r w:rsidR="000A20C7">
        <w:rPr>
          <w:lang w:val="fr-FR"/>
        </w:rPr>
        <w:t xml:space="preserve">– taux </w:t>
      </w:r>
      <w:r w:rsidR="000A20C7" w:rsidRPr="005E0E66">
        <w:rPr>
          <w:i/>
          <w:lang w:val="fr-FR"/>
        </w:rPr>
        <w:t>ad valorem</w:t>
      </w:r>
      <w:r w:rsidR="000A20C7">
        <w:rPr>
          <w:lang w:val="fr-FR"/>
        </w:rPr>
        <w:t xml:space="preserve"> uniforme pour le CITE, </w:t>
      </w:r>
      <w:r w:rsidRPr="005E0E66">
        <w:rPr>
          <w:i/>
          <w:lang w:val="fr-FR"/>
        </w:rPr>
        <w:t>ad valorem</w:t>
      </w:r>
      <w:r w:rsidRPr="00D95F27">
        <w:rPr>
          <w:lang w:val="fr-FR"/>
        </w:rPr>
        <w:t xml:space="preserve"> </w:t>
      </w:r>
      <w:r w:rsidR="000A20C7">
        <w:rPr>
          <w:lang w:val="fr-FR"/>
        </w:rPr>
        <w:t xml:space="preserve">uniforme et fixé à un niveau plus bas pour la </w:t>
      </w:r>
      <w:r w:rsidRPr="00D95F27">
        <w:rPr>
          <w:lang w:val="fr-FR"/>
        </w:rPr>
        <w:t>TVA</w:t>
      </w:r>
      <w:r w:rsidR="000A20C7">
        <w:rPr>
          <w:lang w:val="fr-FR"/>
        </w:rPr>
        <w:t xml:space="preserve"> réduite, </w:t>
      </w:r>
      <w:r w:rsidRPr="005E0E66">
        <w:rPr>
          <w:i/>
          <w:lang w:val="fr-FR"/>
        </w:rPr>
        <w:t>ad valorem</w:t>
      </w:r>
      <w:r w:rsidRPr="00D95F27">
        <w:rPr>
          <w:lang w:val="fr-FR"/>
        </w:rPr>
        <w:t xml:space="preserve"> </w:t>
      </w:r>
      <w:r w:rsidR="000A20C7">
        <w:rPr>
          <w:lang w:val="fr-FR"/>
        </w:rPr>
        <w:t xml:space="preserve">et </w:t>
      </w:r>
      <w:r w:rsidRPr="00D95F27">
        <w:rPr>
          <w:lang w:val="fr-FR"/>
        </w:rPr>
        <w:t xml:space="preserve">ciblé pour </w:t>
      </w:r>
      <w:r w:rsidR="000A20C7">
        <w:rPr>
          <w:lang w:val="fr-FR"/>
        </w:rPr>
        <w:t>l’</w:t>
      </w:r>
      <w:r w:rsidR="00CA3302">
        <w:rPr>
          <w:lang w:val="fr-FR"/>
        </w:rPr>
        <w:t>EPTZ</w:t>
      </w:r>
      <w:r w:rsidRPr="00D95F27">
        <w:rPr>
          <w:lang w:val="fr-FR"/>
        </w:rPr>
        <w:t xml:space="preserve"> </w:t>
      </w:r>
      <w:r w:rsidR="000A20C7">
        <w:rPr>
          <w:lang w:val="fr-FR"/>
        </w:rPr>
        <w:t xml:space="preserve">ou encore </w:t>
      </w:r>
      <w:r w:rsidRPr="005E0E66">
        <w:rPr>
          <w:i/>
          <w:lang w:val="fr-FR"/>
        </w:rPr>
        <w:t>ad valorem</w:t>
      </w:r>
      <w:r w:rsidRPr="00D95F27">
        <w:rPr>
          <w:lang w:val="fr-FR"/>
        </w:rPr>
        <w:t xml:space="preserve"> </w:t>
      </w:r>
      <w:r w:rsidR="000A20C7">
        <w:rPr>
          <w:lang w:val="fr-FR"/>
        </w:rPr>
        <w:t xml:space="preserve">régressif pour les CEE – rendent la comparaison entre instruments difficile. Afin de </w:t>
      </w:r>
      <w:r w:rsidRPr="00D95F27">
        <w:rPr>
          <w:lang w:val="fr-FR"/>
        </w:rPr>
        <w:t xml:space="preserve">mieux comprendre </w:t>
      </w:r>
      <w:r w:rsidR="000A20C7">
        <w:rPr>
          <w:lang w:val="fr-FR"/>
        </w:rPr>
        <w:t>l’</w:t>
      </w:r>
      <w:r w:rsidRPr="00D95F27">
        <w:rPr>
          <w:lang w:val="fr-FR"/>
        </w:rPr>
        <w:t>o</w:t>
      </w:r>
      <w:r w:rsidR="00F31B58">
        <w:rPr>
          <w:lang w:val="fr-FR"/>
        </w:rPr>
        <w:t>rdre du mérite exposé dans les F</w:t>
      </w:r>
      <w:r w:rsidRPr="00D95F27">
        <w:rPr>
          <w:lang w:val="fr-FR"/>
        </w:rPr>
        <w:t>igures 1</w:t>
      </w:r>
      <w:r w:rsidR="00F31B58">
        <w:rPr>
          <w:lang w:val="fr-FR"/>
        </w:rPr>
        <w:t>2 et 13</w:t>
      </w:r>
      <w:r w:rsidRPr="00D95F27">
        <w:rPr>
          <w:lang w:val="fr-FR"/>
        </w:rPr>
        <w:t xml:space="preserve">, et en particulier pour </w:t>
      </w:r>
      <w:r w:rsidR="000A20C7">
        <w:rPr>
          <w:lang w:val="fr-FR"/>
        </w:rPr>
        <w:t xml:space="preserve">séparer les effets de </w:t>
      </w:r>
      <w:r w:rsidRPr="00D95F27">
        <w:rPr>
          <w:lang w:val="fr-FR"/>
        </w:rPr>
        <w:t xml:space="preserve">forme </w:t>
      </w:r>
      <w:r w:rsidR="000A20C7">
        <w:rPr>
          <w:lang w:val="fr-FR"/>
        </w:rPr>
        <w:t xml:space="preserve">du barème </w:t>
      </w:r>
      <w:r w:rsidRPr="00D95F27">
        <w:rPr>
          <w:lang w:val="fr-FR"/>
        </w:rPr>
        <w:t xml:space="preserve">et de niveau, nous nous concentrons sur un instrument, </w:t>
      </w:r>
      <w:r w:rsidR="000A20C7">
        <w:rPr>
          <w:lang w:val="fr-FR"/>
        </w:rPr>
        <w:t xml:space="preserve">le CITE, dont nous simulons des variantes supplémentaires. </w:t>
      </w:r>
      <w:r w:rsidRPr="00D95F27">
        <w:rPr>
          <w:lang w:val="fr-FR"/>
        </w:rPr>
        <w:t xml:space="preserve">Outre les variantes de référence et </w:t>
      </w:r>
      <w:r w:rsidR="00CA3302">
        <w:rPr>
          <w:lang w:val="fr-FR"/>
        </w:rPr>
        <w:t>CITE</w:t>
      </w:r>
      <w:r w:rsidRPr="00D95F27">
        <w:rPr>
          <w:lang w:val="fr-FR"/>
        </w:rPr>
        <w:t xml:space="preserve">+ (qui </w:t>
      </w:r>
      <w:r w:rsidR="000A20C7">
        <w:rPr>
          <w:lang w:val="fr-FR"/>
        </w:rPr>
        <w:t>reprend</w:t>
      </w:r>
      <w:r w:rsidRPr="00D95F27">
        <w:rPr>
          <w:lang w:val="fr-FR"/>
        </w:rPr>
        <w:t xml:space="preserve"> </w:t>
      </w:r>
      <w:r w:rsidR="000A20C7">
        <w:rPr>
          <w:lang w:val="fr-FR"/>
        </w:rPr>
        <w:t>de ciblage performance de l’</w:t>
      </w:r>
      <w:r w:rsidR="00CA3302">
        <w:rPr>
          <w:lang w:val="fr-FR"/>
        </w:rPr>
        <w:t>EPTZ</w:t>
      </w:r>
      <w:r w:rsidRPr="00D95F27">
        <w:rPr>
          <w:lang w:val="fr-FR"/>
        </w:rPr>
        <w:t xml:space="preserve">), nous considérons les </w:t>
      </w:r>
      <w:r w:rsidR="000A20C7">
        <w:rPr>
          <w:lang w:val="fr-FR"/>
        </w:rPr>
        <w:t xml:space="preserve">variantes </w:t>
      </w:r>
      <w:r w:rsidRPr="00D95F27">
        <w:rPr>
          <w:lang w:val="fr-FR"/>
        </w:rPr>
        <w:t xml:space="preserve">suivantes : </w:t>
      </w:r>
      <w:r w:rsidR="000A20C7">
        <w:rPr>
          <w:lang w:val="fr-FR"/>
        </w:rPr>
        <w:t>l’</w:t>
      </w:r>
      <w:r w:rsidRPr="00D95F27">
        <w:rPr>
          <w:lang w:val="fr-FR"/>
        </w:rPr>
        <w:t xml:space="preserve">une avec </w:t>
      </w:r>
      <w:r w:rsidR="000A20C7">
        <w:rPr>
          <w:lang w:val="fr-FR"/>
        </w:rPr>
        <w:t xml:space="preserve">un taux </w:t>
      </w:r>
      <w:r w:rsidR="000A20C7" w:rsidRPr="005E0E66">
        <w:rPr>
          <w:i/>
          <w:lang w:val="fr-FR"/>
        </w:rPr>
        <w:t>ad valorem</w:t>
      </w:r>
      <w:r w:rsidR="000A20C7">
        <w:rPr>
          <w:lang w:val="fr-FR"/>
        </w:rPr>
        <w:t xml:space="preserve"> </w:t>
      </w:r>
      <w:r w:rsidRPr="00D95F27">
        <w:rPr>
          <w:lang w:val="fr-FR"/>
        </w:rPr>
        <w:t>uniforme mais réduit de moitié (</w:t>
      </w:r>
      <w:r w:rsidR="000A20C7">
        <w:rPr>
          <w:lang w:val="fr-FR"/>
        </w:rPr>
        <w:t xml:space="preserve">analogue au taux </w:t>
      </w:r>
      <w:r w:rsidRPr="00D95F27">
        <w:rPr>
          <w:lang w:val="fr-FR"/>
        </w:rPr>
        <w:t xml:space="preserve">faible de la TVA réduite) ; </w:t>
      </w:r>
      <w:r w:rsidR="000A20C7">
        <w:rPr>
          <w:lang w:val="fr-FR"/>
        </w:rPr>
        <w:t xml:space="preserve">une </w:t>
      </w:r>
      <w:r w:rsidRPr="00D95F27">
        <w:rPr>
          <w:lang w:val="fr-FR"/>
        </w:rPr>
        <w:t>autre</w:t>
      </w:r>
      <w:r w:rsidR="000A20C7">
        <w:rPr>
          <w:lang w:val="fr-FR"/>
        </w:rPr>
        <w:t xml:space="preserve"> ciblant </w:t>
      </w:r>
      <w:r w:rsidR="00E40E50">
        <w:rPr>
          <w:lang w:val="fr-FR"/>
        </w:rPr>
        <w:t xml:space="preserve">les ménages en situation de </w:t>
      </w:r>
      <w:r w:rsidR="000A20C7">
        <w:rPr>
          <w:lang w:val="fr-FR"/>
        </w:rPr>
        <w:t>précarité</w:t>
      </w:r>
      <w:r w:rsidR="00E40E50">
        <w:rPr>
          <w:lang w:val="fr-FR"/>
        </w:rPr>
        <w:t xml:space="preserve"> énergétique</w:t>
      </w:r>
      <w:r w:rsidR="000A20C7">
        <w:rPr>
          <w:lang w:val="fr-FR"/>
        </w:rPr>
        <w:t>, où l’</w:t>
      </w:r>
      <w:r w:rsidRPr="00D95F27">
        <w:rPr>
          <w:lang w:val="fr-FR"/>
        </w:rPr>
        <w:t xml:space="preserve">éligibilité </w:t>
      </w:r>
      <w:r w:rsidR="000A20C7">
        <w:rPr>
          <w:lang w:val="fr-FR"/>
        </w:rPr>
        <w:t xml:space="preserve">est restreinte </w:t>
      </w:r>
      <w:r w:rsidRPr="00D95F27">
        <w:rPr>
          <w:lang w:val="fr-FR"/>
        </w:rPr>
        <w:t xml:space="preserve">aux deux premiers quintiles </w:t>
      </w:r>
      <w:r w:rsidR="000A20C7">
        <w:rPr>
          <w:lang w:val="fr-FR"/>
        </w:rPr>
        <w:t xml:space="preserve">de revenu des ménages </w:t>
      </w:r>
      <w:r w:rsidRPr="00D95F27">
        <w:rPr>
          <w:lang w:val="fr-FR"/>
        </w:rPr>
        <w:t xml:space="preserve">; </w:t>
      </w:r>
      <w:r w:rsidR="000A20C7">
        <w:rPr>
          <w:lang w:val="fr-FR"/>
        </w:rPr>
        <w:t>et une dernière qui combine les ciblages performance et précarité</w:t>
      </w:r>
      <w:r w:rsidRPr="00D95F27">
        <w:rPr>
          <w:lang w:val="fr-FR"/>
        </w:rPr>
        <w:t>. L</w:t>
      </w:r>
      <w:r w:rsidR="000A20C7">
        <w:rPr>
          <w:lang w:val="fr-FR"/>
        </w:rPr>
        <w:t>’</w:t>
      </w:r>
      <w:r w:rsidRPr="00D95F27">
        <w:rPr>
          <w:lang w:val="fr-FR"/>
        </w:rPr>
        <w:t xml:space="preserve">effet levier qui en </w:t>
      </w:r>
      <w:r w:rsidR="00F31B58">
        <w:rPr>
          <w:lang w:val="fr-FR"/>
        </w:rPr>
        <w:t>résulte, illustré à la Figure 14</w:t>
      </w:r>
      <w:r w:rsidRPr="00D95F27">
        <w:rPr>
          <w:lang w:val="fr-FR"/>
        </w:rPr>
        <w:t xml:space="preserve">, </w:t>
      </w:r>
      <w:r w:rsidR="000A20C7">
        <w:rPr>
          <w:lang w:val="fr-FR"/>
        </w:rPr>
        <w:t xml:space="preserve">suggèrent que ces différents </w:t>
      </w:r>
      <w:r w:rsidRPr="00D95F27">
        <w:rPr>
          <w:lang w:val="fr-FR"/>
        </w:rPr>
        <w:t xml:space="preserve">ajustements </w:t>
      </w:r>
      <w:r w:rsidR="00C7378D">
        <w:rPr>
          <w:lang w:val="fr-FR"/>
        </w:rPr>
        <w:t xml:space="preserve">ont </w:t>
      </w:r>
      <w:r w:rsidR="000A20C7">
        <w:rPr>
          <w:lang w:val="fr-FR"/>
        </w:rPr>
        <w:t xml:space="preserve">tous </w:t>
      </w:r>
      <w:r w:rsidR="00C7378D">
        <w:rPr>
          <w:lang w:val="fr-FR"/>
        </w:rPr>
        <w:t>pour effet d’accroître l’</w:t>
      </w:r>
      <w:r w:rsidR="000A20C7">
        <w:rPr>
          <w:lang w:val="fr-FR"/>
        </w:rPr>
        <w:t>efficience</w:t>
      </w:r>
      <w:r w:rsidRPr="00D95F27">
        <w:rPr>
          <w:lang w:val="fr-FR"/>
        </w:rPr>
        <w:t xml:space="preserve">. </w:t>
      </w:r>
      <w:r w:rsidR="009939BB">
        <w:rPr>
          <w:lang w:val="fr-FR"/>
        </w:rPr>
        <w:t>Ces ajustement</w:t>
      </w:r>
      <w:r w:rsidR="00C7378D">
        <w:rPr>
          <w:lang w:val="fr-FR"/>
        </w:rPr>
        <w:t>s</w:t>
      </w:r>
      <w:r w:rsidR="009939BB">
        <w:rPr>
          <w:lang w:val="fr-FR"/>
        </w:rPr>
        <w:t xml:space="preserve"> </w:t>
      </w:r>
      <w:r w:rsidRPr="000A20C7">
        <w:rPr>
          <w:lang w:val="fr-FR"/>
        </w:rPr>
        <w:t>opèrent cependant</w:t>
      </w:r>
      <w:r w:rsidR="009939BB">
        <w:rPr>
          <w:lang w:val="fr-FR"/>
        </w:rPr>
        <w:t xml:space="preserve"> par des canaux différents</w:t>
      </w:r>
      <w:r w:rsidRPr="000A20C7">
        <w:rPr>
          <w:lang w:val="fr-FR"/>
        </w:rPr>
        <w:t xml:space="preserve"> :</w:t>
      </w:r>
    </w:p>
    <w:p w14:paraId="55602CB1" w14:textId="72AE7D42" w:rsidR="00D95F27" w:rsidRPr="00D95F27" w:rsidRDefault="00D95F27" w:rsidP="00D95F27">
      <w:pPr>
        <w:pStyle w:val="Paragraphedeliste"/>
        <w:numPr>
          <w:ilvl w:val="0"/>
          <w:numId w:val="8"/>
        </w:numPr>
        <w:rPr>
          <w:lang w:val="fr-FR"/>
        </w:rPr>
      </w:pPr>
      <w:r w:rsidRPr="00D95F27">
        <w:rPr>
          <w:lang w:val="fr-FR"/>
        </w:rPr>
        <w:t>L</w:t>
      </w:r>
      <w:r w:rsidR="00DE6355">
        <w:rPr>
          <w:lang w:val="fr-FR"/>
        </w:rPr>
        <w:t>’</w:t>
      </w:r>
      <w:r w:rsidRPr="00D95F27">
        <w:rPr>
          <w:lang w:val="fr-FR"/>
        </w:rPr>
        <w:t xml:space="preserve">effet levier légèrement plus élevé induit par une baisse du taux uniforme est dû à une réorientation des investissements vers les mesures les moins coûteuses. </w:t>
      </w:r>
      <w:r w:rsidR="00DE6355">
        <w:rPr>
          <w:lang w:val="fr-FR"/>
        </w:rPr>
        <w:t xml:space="preserve">Cet effet </w:t>
      </w:r>
      <w:r w:rsidRPr="00D95F27">
        <w:rPr>
          <w:lang w:val="fr-FR"/>
        </w:rPr>
        <w:t xml:space="preserve">contribue à expliquer la différence de performance entre la TVA réduite et le </w:t>
      </w:r>
      <w:r w:rsidR="00DE6355">
        <w:rPr>
          <w:lang w:val="fr-FR"/>
        </w:rPr>
        <w:t>CITE</w:t>
      </w:r>
      <w:r w:rsidR="00556BA8">
        <w:rPr>
          <w:lang w:val="fr-FR"/>
        </w:rPr>
        <w:t xml:space="preserve"> qui s’observe</w:t>
      </w:r>
      <w:r w:rsidR="007F69E5">
        <w:rPr>
          <w:lang w:val="fr-FR"/>
        </w:rPr>
        <w:t xml:space="preserve"> à la Figure 13</w:t>
      </w:r>
      <w:r w:rsidRPr="00D95F27">
        <w:rPr>
          <w:lang w:val="fr-FR"/>
        </w:rPr>
        <w:t>.</w:t>
      </w:r>
    </w:p>
    <w:p w14:paraId="659F5B8A" w14:textId="57DD2A89" w:rsidR="00D95F27" w:rsidRPr="00D95F27" w:rsidRDefault="0091244E" w:rsidP="00D95F27">
      <w:pPr>
        <w:pStyle w:val="Paragraphedeliste"/>
        <w:numPr>
          <w:ilvl w:val="0"/>
          <w:numId w:val="8"/>
        </w:numPr>
        <w:rPr>
          <w:lang w:val="fr-FR"/>
        </w:rPr>
      </w:pPr>
      <w:r>
        <w:rPr>
          <w:lang w:val="fr-FR"/>
        </w:rPr>
        <w:t>L’</w:t>
      </w:r>
      <w:r w:rsidR="00D95F27" w:rsidRPr="00D95F27">
        <w:rPr>
          <w:lang w:val="fr-FR"/>
        </w:rPr>
        <w:t xml:space="preserve">effet levier plus important induit par le ciblage </w:t>
      </w:r>
      <w:r>
        <w:rPr>
          <w:lang w:val="fr-FR"/>
        </w:rPr>
        <w:t xml:space="preserve">sur la précarité </w:t>
      </w:r>
      <w:r w:rsidR="00D95F27" w:rsidRPr="00D95F27">
        <w:rPr>
          <w:lang w:val="fr-FR"/>
        </w:rPr>
        <w:t xml:space="preserve">est également dû à une réorientation de l'investissement vers les mesures les moins coûteuses, </w:t>
      </w:r>
      <w:r>
        <w:rPr>
          <w:lang w:val="fr-FR"/>
        </w:rPr>
        <w:t xml:space="preserve">en vertu de </w:t>
      </w:r>
      <w:r w:rsidR="00D95F27" w:rsidRPr="00D95F27">
        <w:rPr>
          <w:lang w:val="fr-FR"/>
        </w:rPr>
        <w:t>la corrélation entre le revenu et l</w:t>
      </w:r>
      <w:r w:rsidR="00B12E65">
        <w:rPr>
          <w:lang w:val="fr-FR"/>
        </w:rPr>
        <w:t>’</w:t>
      </w:r>
      <w:r w:rsidR="00D95F27" w:rsidRPr="00D95F27">
        <w:rPr>
          <w:lang w:val="fr-FR"/>
        </w:rPr>
        <w:t>efficac</w:t>
      </w:r>
      <w:r w:rsidR="007F69E5">
        <w:rPr>
          <w:lang w:val="fr-FR"/>
        </w:rPr>
        <w:t>ité énergétique illustrée à la F</w:t>
      </w:r>
      <w:r w:rsidR="00D95F27" w:rsidRPr="00D95F27">
        <w:rPr>
          <w:lang w:val="fr-FR"/>
        </w:rPr>
        <w:t xml:space="preserve">igure </w:t>
      </w:r>
      <w:r w:rsidR="007F69E5">
        <w:rPr>
          <w:lang w:val="fr-FR"/>
        </w:rPr>
        <w:t>1</w:t>
      </w:r>
      <w:r w:rsidR="00D95F27" w:rsidRPr="00D95F27">
        <w:rPr>
          <w:lang w:val="fr-FR"/>
        </w:rPr>
        <w:t xml:space="preserve">. Elle ouvre la voie à des politiques conciliant efficacité économique et réduction de la </w:t>
      </w:r>
      <w:r w:rsidR="007E47C2">
        <w:rPr>
          <w:lang w:val="fr-FR"/>
        </w:rPr>
        <w:t>précarité</w:t>
      </w:r>
      <w:r w:rsidR="007E47C2" w:rsidRPr="00D95F27">
        <w:rPr>
          <w:lang w:val="fr-FR"/>
        </w:rPr>
        <w:t xml:space="preserve"> </w:t>
      </w:r>
      <w:r w:rsidR="00D95F27" w:rsidRPr="00D95F27">
        <w:rPr>
          <w:lang w:val="fr-FR"/>
        </w:rPr>
        <w:t>énergétique.</w:t>
      </w:r>
    </w:p>
    <w:p w14:paraId="190B405F" w14:textId="5AB5AABA" w:rsidR="00985455" w:rsidRPr="00D95F27" w:rsidRDefault="00D95F27" w:rsidP="00D95F27">
      <w:pPr>
        <w:pStyle w:val="Paragraphedeliste"/>
        <w:numPr>
          <w:ilvl w:val="0"/>
          <w:numId w:val="8"/>
        </w:numPr>
        <w:rPr>
          <w:lang w:val="fr-FR"/>
        </w:rPr>
      </w:pPr>
      <w:r w:rsidRPr="00D95F27">
        <w:rPr>
          <w:lang w:val="fr-FR"/>
        </w:rPr>
        <w:t>L</w:t>
      </w:r>
      <w:r w:rsidR="0091244E">
        <w:rPr>
          <w:lang w:val="fr-FR"/>
        </w:rPr>
        <w:t>’</w:t>
      </w:r>
      <w:r w:rsidR="008A229A">
        <w:rPr>
          <w:lang w:val="fr-FR"/>
        </w:rPr>
        <w:t>augmentation de l’</w:t>
      </w:r>
      <w:r w:rsidRPr="00D95F27">
        <w:rPr>
          <w:lang w:val="fr-FR"/>
        </w:rPr>
        <w:t>effet levier induit</w:t>
      </w:r>
      <w:r w:rsidR="008A229A">
        <w:rPr>
          <w:lang w:val="fr-FR"/>
        </w:rPr>
        <w:t>e</w:t>
      </w:r>
      <w:r w:rsidRPr="00D95F27">
        <w:rPr>
          <w:lang w:val="fr-FR"/>
        </w:rPr>
        <w:t xml:space="preserve"> par le ciblage </w:t>
      </w:r>
      <w:r w:rsidR="008A229A">
        <w:rPr>
          <w:lang w:val="fr-FR"/>
        </w:rPr>
        <w:t>performance</w:t>
      </w:r>
      <w:r w:rsidRPr="00D95F27">
        <w:rPr>
          <w:lang w:val="fr-FR"/>
        </w:rPr>
        <w:t xml:space="preserve"> </w:t>
      </w:r>
      <w:r w:rsidR="008A229A">
        <w:rPr>
          <w:lang w:val="fr-FR"/>
        </w:rPr>
        <w:t xml:space="preserve">est </w:t>
      </w:r>
      <w:r w:rsidRPr="00D95F27">
        <w:rPr>
          <w:lang w:val="fr-FR"/>
        </w:rPr>
        <w:t>plus persistant</w:t>
      </w:r>
      <w:r w:rsidR="008A229A">
        <w:rPr>
          <w:lang w:val="fr-FR"/>
        </w:rPr>
        <w:t>e</w:t>
      </w:r>
      <w:r w:rsidRPr="00D95F27">
        <w:rPr>
          <w:lang w:val="fr-FR"/>
        </w:rPr>
        <w:t xml:space="preserve"> que les de</w:t>
      </w:r>
      <w:r w:rsidR="00766297">
        <w:rPr>
          <w:lang w:val="fr-FR"/>
        </w:rPr>
        <w:t>ux premiers ajustements. Elle s’</w:t>
      </w:r>
      <w:r w:rsidRPr="00D95F27">
        <w:rPr>
          <w:lang w:val="fr-FR"/>
        </w:rPr>
        <w:t>explique par un fort</w:t>
      </w:r>
      <w:r w:rsidR="00766297">
        <w:rPr>
          <w:lang w:val="fr-FR"/>
        </w:rPr>
        <w:t xml:space="preserve"> effet sur la marge intensive d’</w:t>
      </w:r>
      <w:r w:rsidRPr="00D95F27">
        <w:rPr>
          <w:lang w:val="fr-FR"/>
        </w:rPr>
        <w:t xml:space="preserve">investissement. Cet effet </w:t>
      </w:r>
      <w:r w:rsidR="00766297">
        <w:rPr>
          <w:lang w:val="fr-FR"/>
        </w:rPr>
        <w:t xml:space="preserve">du </w:t>
      </w:r>
      <w:r w:rsidRPr="00D95F27">
        <w:rPr>
          <w:lang w:val="fr-FR"/>
        </w:rPr>
        <w:t xml:space="preserve">ciblage </w:t>
      </w:r>
      <w:r w:rsidR="00766297">
        <w:rPr>
          <w:lang w:val="fr-FR"/>
        </w:rPr>
        <w:t>performance</w:t>
      </w:r>
      <w:r w:rsidRPr="00D95F27">
        <w:rPr>
          <w:lang w:val="fr-FR"/>
        </w:rPr>
        <w:t>, conjugué à celui d</w:t>
      </w:r>
      <w:r w:rsidR="00B4347F">
        <w:rPr>
          <w:lang w:val="fr-FR"/>
        </w:rPr>
        <w:t>’</w:t>
      </w:r>
      <w:r w:rsidRPr="00D95F27">
        <w:rPr>
          <w:lang w:val="fr-FR"/>
        </w:rPr>
        <w:t xml:space="preserve">un taux uniforme plus faible, contribue à expliquer la différence de performance entre le </w:t>
      </w:r>
      <w:r w:rsidR="007915F6">
        <w:rPr>
          <w:lang w:val="fr-FR"/>
        </w:rPr>
        <w:t>CITE et l’</w:t>
      </w:r>
      <w:r w:rsidR="00CA3302">
        <w:rPr>
          <w:lang w:val="fr-FR"/>
        </w:rPr>
        <w:t>EPTZ</w:t>
      </w:r>
      <w:r w:rsidRPr="00D95F27">
        <w:rPr>
          <w:lang w:val="fr-FR"/>
        </w:rPr>
        <w:t xml:space="preserve"> </w:t>
      </w:r>
      <w:r w:rsidR="007915F6">
        <w:rPr>
          <w:lang w:val="fr-FR"/>
        </w:rPr>
        <w:t xml:space="preserve">qui s’observe </w:t>
      </w:r>
      <w:r w:rsidR="007F69E5">
        <w:rPr>
          <w:lang w:val="fr-FR"/>
        </w:rPr>
        <w:t>à la Figure 13</w:t>
      </w:r>
      <w:r w:rsidRPr="00D95F27">
        <w:rPr>
          <w:lang w:val="fr-FR"/>
        </w:rPr>
        <w:t>.</w:t>
      </w:r>
    </w:p>
    <w:p w14:paraId="70329263" w14:textId="77777777" w:rsidR="000D3843" w:rsidRDefault="00CF63DC" w:rsidP="000D3843">
      <w:pPr>
        <w:keepNext/>
        <w:jc w:val="center"/>
      </w:pPr>
      <w:r>
        <w:rPr>
          <w:noProof/>
        </w:rPr>
        <w:drawing>
          <wp:inline distT="0" distB="0" distL="0" distR="0" wp14:anchorId="70BAD6C9" wp14:editId="4ACEBF66">
            <wp:extent cx="5094515" cy="2520043"/>
            <wp:effectExtent l="0" t="0" r="0" b="0"/>
            <wp:docPr id="120" name="Image 119"/>
            <wp:cNvGraphicFramePr/>
            <a:graphic xmlns:a="http://schemas.openxmlformats.org/drawingml/2006/main">
              <a:graphicData uri="http://schemas.openxmlformats.org/drawingml/2006/picture">
                <pic:pic xmlns:pic="http://schemas.openxmlformats.org/drawingml/2006/picture">
                  <pic:nvPicPr>
                    <pic:cNvPr id="120" name="Image 119"/>
                    <pic:cNvPicPr/>
                  </pic:nvPicPr>
                  <pic:blipFill>
                    <a:blip r:embed="rId23"/>
                    <a:stretch/>
                  </pic:blipFill>
                  <pic:spPr>
                    <a:xfrm>
                      <a:off x="0" y="0"/>
                      <a:ext cx="5090937" cy="2518273"/>
                    </a:xfrm>
                    <a:prstGeom prst="rect">
                      <a:avLst/>
                    </a:prstGeom>
                    <a:ln>
                      <a:noFill/>
                    </a:ln>
                  </pic:spPr>
                </pic:pic>
              </a:graphicData>
            </a:graphic>
          </wp:inline>
        </w:drawing>
      </w:r>
    </w:p>
    <w:p w14:paraId="5FB13502" w14:textId="0A91F8FC" w:rsidR="00CE3E04" w:rsidRPr="00357144" w:rsidRDefault="000D3843" w:rsidP="000D3843">
      <w:pPr>
        <w:pStyle w:val="Lgende"/>
        <w:jc w:val="center"/>
        <w:rPr>
          <w:lang w:val="fr-FR"/>
        </w:rPr>
      </w:pPr>
      <w:r w:rsidRPr="00357144">
        <w:rPr>
          <w:lang w:val="fr-FR"/>
        </w:rPr>
        <w:t xml:space="preserve">Figure </w:t>
      </w:r>
      <w:r>
        <w:fldChar w:fldCharType="begin"/>
      </w:r>
      <w:r w:rsidRPr="00357144">
        <w:rPr>
          <w:lang w:val="fr-FR"/>
        </w:rPr>
        <w:instrText xml:space="preserve"> SEQ Figure \* ARABIC </w:instrText>
      </w:r>
      <w:r>
        <w:fldChar w:fldCharType="separate"/>
      </w:r>
      <w:r w:rsidRPr="00357144">
        <w:rPr>
          <w:noProof/>
          <w:lang w:val="fr-FR"/>
        </w:rPr>
        <w:t>14</w:t>
      </w:r>
      <w:r>
        <w:fldChar w:fldCharType="end"/>
      </w:r>
      <w:r w:rsidRPr="00357144">
        <w:rPr>
          <w:lang w:val="fr-FR"/>
        </w:rPr>
        <w:t>: Effet levier avec d’autres variantes du CITE</w:t>
      </w:r>
    </w:p>
    <w:p w14:paraId="6391BA31" w14:textId="77777777" w:rsidR="00C877D7" w:rsidRPr="00C912D0" w:rsidRDefault="00C877D7" w:rsidP="00C877D7">
      <w:pPr>
        <w:pStyle w:val="Titre1"/>
        <w:rPr>
          <w:lang w:val="en-GB"/>
        </w:rPr>
      </w:pPr>
      <w:r w:rsidRPr="00C912D0">
        <w:rPr>
          <w:lang w:val="en-GB"/>
        </w:rPr>
        <w:lastRenderedPageBreak/>
        <w:t>Conclusion</w:t>
      </w:r>
    </w:p>
    <w:p w14:paraId="2328241D" w14:textId="06637D10" w:rsidR="00D95F27" w:rsidRPr="00D95F27" w:rsidRDefault="00A85B93" w:rsidP="00D95F27">
      <w:pPr>
        <w:rPr>
          <w:lang w:val="fr-FR"/>
        </w:rPr>
      </w:pPr>
      <w:r>
        <w:rPr>
          <w:lang w:val="fr-FR"/>
        </w:rPr>
        <w:t>Cette</w:t>
      </w:r>
      <w:r w:rsidR="00D95F27" w:rsidRPr="00D95F27">
        <w:rPr>
          <w:lang w:val="fr-FR"/>
        </w:rPr>
        <w:t xml:space="preserve"> étude </w:t>
      </w:r>
      <w:r w:rsidR="006D2C59">
        <w:rPr>
          <w:lang w:val="fr-FR"/>
        </w:rPr>
        <w:t>quantifie</w:t>
      </w:r>
      <w:r w:rsidR="00D95F27" w:rsidRPr="00D95F27">
        <w:rPr>
          <w:lang w:val="fr-FR"/>
        </w:rPr>
        <w:t xml:space="preserve"> </w:t>
      </w:r>
      <w:r w:rsidR="006D2C59">
        <w:rPr>
          <w:lang w:val="fr-FR"/>
        </w:rPr>
        <w:t>l’</w:t>
      </w:r>
      <w:r w:rsidR="00D95F27" w:rsidRPr="00D95F27">
        <w:rPr>
          <w:lang w:val="fr-FR"/>
        </w:rPr>
        <w:t xml:space="preserve">impact à </w:t>
      </w:r>
      <w:r w:rsidR="006D2C59">
        <w:rPr>
          <w:lang w:val="fr-FR"/>
        </w:rPr>
        <w:t xml:space="preserve">moyen et </w:t>
      </w:r>
      <w:r w:rsidR="00D95F27" w:rsidRPr="00D95F27">
        <w:rPr>
          <w:lang w:val="fr-FR"/>
        </w:rPr>
        <w:t xml:space="preserve">long terme des politiques </w:t>
      </w:r>
      <w:r w:rsidR="006D2C59">
        <w:rPr>
          <w:lang w:val="fr-FR"/>
        </w:rPr>
        <w:t>de rénovation énergétique des logements en France</w:t>
      </w:r>
      <w:r w:rsidR="00D95F27" w:rsidRPr="00D95F27">
        <w:rPr>
          <w:lang w:val="fr-FR"/>
        </w:rPr>
        <w:t xml:space="preserve">. </w:t>
      </w:r>
      <w:r w:rsidR="006D2C59">
        <w:rPr>
          <w:lang w:val="fr-FR"/>
        </w:rPr>
        <w:t xml:space="preserve">Elle </w:t>
      </w:r>
      <w:r w:rsidR="00D95F27" w:rsidRPr="00D95F27">
        <w:rPr>
          <w:lang w:val="fr-FR"/>
        </w:rPr>
        <w:t xml:space="preserve">utilise la dernière version de </w:t>
      </w:r>
      <w:r w:rsidR="006D2C59">
        <w:rPr>
          <w:lang w:val="fr-FR"/>
        </w:rPr>
        <w:t>Res-IRF, un modèle de demande d’</w:t>
      </w:r>
      <w:r w:rsidR="00D95F27" w:rsidRPr="00D95F27">
        <w:rPr>
          <w:lang w:val="fr-FR"/>
        </w:rPr>
        <w:t xml:space="preserve">énergie </w:t>
      </w:r>
      <w:r w:rsidR="006D2C59">
        <w:rPr>
          <w:lang w:val="fr-FR"/>
        </w:rPr>
        <w:t xml:space="preserve">offrant une description riche du parc de logements et des comportements des ménages. </w:t>
      </w:r>
      <w:r>
        <w:rPr>
          <w:lang w:val="fr-FR"/>
        </w:rPr>
        <w:t>Le modèle couvre la demande d’</w:t>
      </w:r>
      <w:r w:rsidR="00D95F27" w:rsidRPr="00D95F27">
        <w:rPr>
          <w:lang w:val="fr-FR"/>
        </w:rPr>
        <w:t xml:space="preserve">électricité, de gaz naturel, de </w:t>
      </w:r>
      <w:r w:rsidR="009A1520">
        <w:rPr>
          <w:lang w:val="fr-FR"/>
        </w:rPr>
        <w:t>fioul domestique</w:t>
      </w:r>
      <w:r w:rsidR="00D95F27" w:rsidRPr="00D95F27">
        <w:rPr>
          <w:lang w:val="fr-FR"/>
        </w:rPr>
        <w:t xml:space="preserve"> et de </w:t>
      </w:r>
      <w:r w:rsidR="00CD2D08">
        <w:rPr>
          <w:lang w:val="fr-FR"/>
        </w:rPr>
        <w:t>bois-énergie</w:t>
      </w:r>
      <w:r w:rsidR="00D95F27" w:rsidRPr="00D95F27">
        <w:rPr>
          <w:lang w:val="fr-FR"/>
        </w:rPr>
        <w:t xml:space="preserve"> pour le chauffage des résidences principales</w:t>
      </w:r>
      <w:r>
        <w:rPr>
          <w:lang w:val="fr-FR"/>
        </w:rPr>
        <w:t xml:space="preserve">, soit </w:t>
      </w:r>
      <w:r w:rsidR="00D95F27" w:rsidRPr="00D95F27">
        <w:rPr>
          <w:lang w:val="fr-FR"/>
        </w:rPr>
        <w:t>18 % de la consommation finale d</w:t>
      </w:r>
      <w:r w:rsidR="009C1DC9">
        <w:rPr>
          <w:lang w:val="fr-FR"/>
        </w:rPr>
        <w:t>’</w:t>
      </w:r>
      <w:r w:rsidR="00D95F27" w:rsidRPr="00D95F27">
        <w:rPr>
          <w:lang w:val="fr-FR"/>
        </w:rPr>
        <w:t xml:space="preserve">énergie en France. </w:t>
      </w:r>
      <w:r w:rsidR="00E929EA">
        <w:rPr>
          <w:lang w:val="fr-FR"/>
        </w:rPr>
        <w:t xml:space="preserve">La pertinence du modèle pour l’étude envisagée est </w:t>
      </w:r>
      <w:r w:rsidR="009B5E4C">
        <w:rPr>
          <w:lang w:val="fr-FR"/>
        </w:rPr>
        <w:t xml:space="preserve">confortée </w:t>
      </w:r>
      <w:r w:rsidR="00E929EA">
        <w:rPr>
          <w:lang w:val="fr-FR"/>
        </w:rPr>
        <w:t>par sa capacité à reproduire les ordres de grandeur et tendances de long terme observées dans le secteur du logement.</w:t>
      </w:r>
    </w:p>
    <w:p w14:paraId="55FE3584" w14:textId="1AA2911D" w:rsidR="00D95F27" w:rsidRPr="00D95F27" w:rsidRDefault="006C31E0" w:rsidP="00D95F27">
      <w:pPr>
        <w:rPr>
          <w:lang w:val="fr-FR"/>
        </w:rPr>
      </w:pPr>
      <w:r>
        <w:rPr>
          <w:lang w:val="fr-FR"/>
        </w:rPr>
        <w:t>L’analyse se concentre sur l’</w:t>
      </w:r>
      <w:r w:rsidR="00D95F27" w:rsidRPr="00D95F27">
        <w:rPr>
          <w:lang w:val="fr-FR"/>
        </w:rPr>
        <w:t xml:space="preserve">impact </w:t>
      </w:r>
      <w:r>
        <w:rPr>
          <w:lang w:val="fr-FR"/>
        </w:rPr>
        <w:t xml:space="preserve">en équilibre </w:t>
      </w:r>
      <w:r w:rsidR="00D95F27" w:rsidRPr="00D95F27">
        <w:rPr>
          <w:lang w:val="fr-FR"/>
        </w:rPr>
        <w:t>partiel des différentes aides à l</w:t>
      </w:r>
      <w:r>
        <w:rPr>
          <w:lang w:val="fr-FR"/>
        </w:rPr>
        <w:t>’</w:t>
      </w:r>
      <w:r w:rsidR="00D95F27" w:rsidRPr="00D95F27">
        <w:rPr>
          <w:lang w:val="fr-FR"/>
        </w:rPr>
        <w:t>efficacité énergétique</w:t>
      </w:r>
      <w:r>
        <w:rPr>
          <w:lang w:val="fr-FR"/>
        </w:rPr>
        <w:t xml:space="preserve"> – crédit d’impôt pour la transition énergétique, éco-prêt</w:t>
      </w:r>
      <w:r w:rsidR="00D95F27" w:rsidRPr="00D95F27">
        <w:rPr>
          <w:lang w:val="fr-FR"/>
        </w:rPr>
        <w:t xml:space="preserve"> à taux zéro, TVA réduite et </w:t>
      </w:r>
      <w:r>
        <w:rPr>
          <w:lang w:val="fr-FR"/>
        </w:rPr>
        <w:t>certificats d’économies d’énergie –</w:t>
      </w:r>
      <w:r w:rsidR="00D95F27" w:rsidRPr="00D95F27">
        <w:rPr>
          <w:lang w:val="fr-FR"/>
        </w:rPr>
        <w:t xml:space="preserve">, de la taxe carbone et </w:t>
      </w:r>
      <w:r>
        <w:rPr>
          <w:lang w:val="fr-FR"/>
        </w:rPr>
        <w:t xml:space="preserve">de la future réglementation thermique de </w:t>
      </w:r>
      <w:r w:rsidR="00D95F27" w:rsidRPr="00D95F27">
        <w:rPr>
          <w:lang w:val="fr-FR"/>
        </w:rPr>
        <w:t xml:space="preserve">2020. </w:t>
      </w:r>
      <w:r>
        <w:rPr>
          <w:lang w:val="fr-FR"/>
        </w:rPr>
        <w:t>L</w:t>
      </w:r>
      <w:r w:rsidR="00D95F27" w:rsidRPr="00D95F27">
        <w:rPr>
          <w:lang w:val="fr-FR"/>
        </w:rPr>
        <w:t xml:space="preserve">e modèle reproduit fidèlement les statistiques </w:t>
      </w:r>
      <w:r>
        <w:rPr>
          <w:lang w:val="fr-FR"/>
        </w:rPr>
        <w:t>disponibles sur le coût des politiques</w:t>
      </w:r>
      <w:r w:rsidR="00D95F27" w:rsidRPr="00D95F27">
        <w:rPr>
          <w:lang w:val="fr-FR"/>
        </w:rPr>
        <w:t xml:space="preserve">, à </w:t>
      </w:r>
      <w:r>
        <w:rPr>
          <w:lang w:val="fr-FR"/>
        </w:rPr>
        <w:t>l’</w:t>
      </w:r>
      <w:r w:rsidR="00D95F27" w:rsidRPr="00D95F27">
        <w:rPr>
          <w:lang w:val="fr-FR"/>
        </w:rPr>
        <w:t xml:space="preserve">exception </w:t>
      </w:r>
      <w:r>
        <w:rPr>
          <w:lang w:val="fr-FR"/>
        </w:rPr>
        <w:t>de l’</w:t>
      </w:r>
      <w:r w:rsidR="00CA3302">
        <w:rPr>
          <w:lang w:val="fr-FR"/>
        </w:rPr>
        <w:t>EPTZ</w:t>
      </w:r>
      <w:r w:rsidR="00D95F27" w:rsidRPr="00D95F27">
        <w:rPr>
          <w:lang w:val="fr-FR"/>
        </w:rPr>
        <w:t xml:space="preserve">, dont </w:t>
      </w:r>
      <w:r>
        <w:rPr>
          <w:lang w:val="fr-FR"/>
        </w:rPr>
        <w:t xml:space="preserve">l’impact est surestimé d’un ordre de grandeur. Cette surestimation compense dans une certaine mesure la non-prise en compte d’autres politiques, comme </w:t>
      </w:r>
      <w:r w:rsidR="00D95F27" w:rsidRPr="00D95F27">
        <w:rPr>
          <w:lang w:val="fr-FR"/>
        </w:rPr>
        <w:t>les subventions accordées par l'Agence nationale de l'habitat (ANAH) aux ménages à faibles revenus et les récentes campagnes d'information</w:t>
      </w:r>
      <w:r>
        <w:rPr>
          <w:lang w:val="fr-FR"/>
        </w:rPr>
        <w:t xml:space="preserve">. On peut donc considérer que </w:t>
      </w:r>
      <w:r w:rsidR="005A2A07">
        <w:rPr>
          <w:lang w:val="fr-FR"/>
        </w:rPr>
        <w:t>l’</w:t>
      </w:r>
      <w:r w:rsidR="00D95F27" w:rsidRPr="00D95F27">
        <w:rPr>
          <w:lang w:val="fr-FR"/>
        </w:rPr>
        <w:t>étude fournit une évaluation crédible de</w:t>
      </w:r>
      <w:r>
        <w:rPr>
          <w:lang w:val="fr-FR"/>
        </w:rPr>
        <w:t xml:space="preserve">s </w:t>
      </w:r>
      <w:r w:rsidR="00D674C7">
        <w:rPr>
          <w:lang w:val="fr-FR"/>
        </w:rPr>
        <w:t>trajectoires</w:t>
      </w:r>
      <w:r w:rsidR="00F44AA0">
        <w:rPr>
          <w:lang w:val="fr-FR"/>
        </w:rPr>
        <w:t xml:space="preserve"> d’amélioration énergétique vis-à-vis </w:t>
      </w:r>
      <w:r w:rsidR="00D674C7">
        <w:rPr>
          <w:lang w:val="fr-FR"/>
        </w:rPr>
        <w:t xml:space="preserve"> </w:t>
      </w:r>
      <w:r>
        <w:rPr>
          <w:lang w:val="fr-FR"/>
        </w:rPr>
        <w:t xml:space="preserve">des différents </w:t>
      </w:r>
      <w:r w:rsidR="00D95F27" w:rsidRPr="00D95F27">
        <w:rPr>
          <w:lang w:val="fr-FR"/>
        </w:rPr>
        <w:t xml:space="preserve">objectifs fixés par </w:t>
      </w:r>
      <w:r w:rsidR="00877EED">
        <w:rPr>
          <w:lang w:val="fr-FR"/>
        </w:rPr>
        <w:t xml:space="preserve">l’Etat </w:t>
      </w:r>
      <w:r>
        <w:rPr>
          <w:lang w:val="fr-FR"/>
        </w:rPr>
        <w:t>dans le secteur résidentiel</w:t>
      </w:r>
      <w:r w:rsidR="00D95F27" w:rsidRPr="00D95F27">
        <w:rPr>
          <w:lang w:val="fr-FR"/>
        </w:rPr>
        <w:t>.</w:t>
      </w:r>
    </w:p>
    <w:p w14:paraId="1457DFA6" w14:textId="1938B904" w:rsidR="00D95F27" w:rsidRPr="00D95F27" w:rsidRDefault="00F3134D" w:rsidP="00D95F27">
      <w:pPr>
        <w:rPr>
          <w:lang w:val="fr-FR"/>
        </w:rPr>
      </w:pPr>
      <w:r>
        <w:rPr>
          <w:lang w:val="fr-FR"/>
        </w:rPr>
        <w:t>D</w:t>
      </w:r>
      <w:r w:rsidR="00D95F27" w:rsidRPr="00D95F27">
        <w:rPr>
          <w:lang w:val="fr-FR"/>
        </w:rPr>
        <w:t xml:space="preserve">e manière générale, </w:t>
      </w:r>
      <w:r w:rsidR="00B50530">
        <w:rPr>
          <w:lang w:val="fr-FR"/>
        </w:rPr>
        <w:t>l’atteinte des</w:t>
      </w:r>
      <w:r w:rsidR="00D95F27" w:rsidRPr="00D95F27">
        <w:rPr>
          <w:lang w:val="fr-FR"/>
        </w:rPr>
        <w:t xml:space="preserve"> objectifs fixés</w:t>
      </w:r>
      <w:r w:rsidR="00B50530">
        <w:rPr>
          <w:lang w:val="fr-FR"/>
        </w:rPr>
        <w:t xml:space="preserve"> nécessite de fixer les différents instruments à </w:t>
      </w:r>
      <w:r w:rsidR="00D95F27" w:rsidRPr="00D95F27">
        <w:rPr>
          <w:lang w:val="fr-FR"/>
        </w:rPr>
        <w:t xml:space="preserve">leur niveau le plus ambitieux et </w:t>
      </w:r>
      <w:r w:rsidR="00B50530">
        <w:rPr>
          <w:lang w:val="fr-FR"/>
        </w:rPr>
        <w:t>les maintenir jusqu’en</w:t>
      </w:r>
      <w:r w:rsidR="00D95F27" w:rsidRPr="00D95F27">
        <w:rPr>
          <w:lang w:val="fr-FR"/>
        </w:rPr>
        <w:t xml:space="preserve"> 2050. En particulier, les critères d</w:t>
      </w:r>
      <w:r w:rsidR="00B50530">
        <w:rPr>
          <w:lang w:val="fr-FR"/>
        </w:rPr>
        <w:t>’</w:t>
      </w:r>
      <w:r w:rsidR="00D95F27" w:rsidRPr="00D95F27">
        <w:rPr>
          <w:lang w:val="fr-FR"/>
        </w:rPr>
        <w:t xml:space="preserve">éligibilité des subventions </w:t>
      </w:r>
      <w:r w:rsidR="00B50530">
        <w:rPr>
          <w:lang w:val="fr-FR"/>
        </w:rPr>
        <w:t xml:space="preserve">doivent être redéfinis pour </w:t>
      </w:r>
      <w:r w:rsidR="00D95F27" w:rsidRPr="00D95F27">
        <w:rPr>
          <w:lang w:val="fr-FR"/>
        </w:rPr>
        <w:t xml:space="preserve">mieux cibler </w:t>
      </w:r>
      <w:r w:rsidR="00B50530">
        <w:rPr>
          <w:lang w:val="fr-FR"/>
        </w:rPr>
        <w:t>le parc locatif privé</w:t>
      </w:r>
      <w:r w:rsidR="00D95F27" w:rsidRPr="00D95F27">
        <w:rPr>
          <w:lang w:val="fr-FR"/>
        </w:rPr>
        <w:t xml:space="preserve">, qui </w:t>
      </w:r>
      <w:r w:rsidR="001E3EF9">
        <w:rPr>
          <w:lang w:val="fr-FR"/>
        </w:rPr>
        <w:t>demeure</w:t>
      </w:r>
      <w:r w:rsidR="00D80963">
        <w:rPr>
          <w:lang w:val="fr-FR"/>
        </w:rPr>
        <w:t xml:space="preserve"> à l’écart de la dynamique générale de rénovation</w:t>
      </w:r>
      <w:r w:rsidR="00D95F27" w:rsidRPr="00D95F27">
        <w:rPr>
          <w:lang w:val="fr-FR"/>
        </w:rPr>
        <w:t xml:space="preserve">. </w:t>
      </w:r>
      <w:r w:rsidR="00DD1ED8">
        <w:rPr>
          <w:lang w:val="fr-FR"/>
        </w:rPr>
        <w:t>L’</w:t>
      </w:r>
      <w:r w:rsidR="00D95F27" w:rsidRPr="00D95F27">
        <w:rPr>
          <w:lang w:val="fr-FR"/>
        </w:rPr>
        <w:t xml:space="preserve">évaluation produit des résultats mitigés </w:t>
      </w:r>
      <w:r w:rsidR="00DD1ED8">
        <w:rPr>
          <w:lang w:val="fr-FR"/>
        </w:rPr>
        <w:t xml:space="preserve">quant à l’objectif des </w:t>
      </w:r>
      <w:r w:rsidR="00D95F27" w:rsidRPr="00D95F27">
        <w:rPr>
          <w:lang w:val="fr-FR"/>
        </w:rPr>
        <w:t xml:space="preserve">500 000 </w:t>
      </w:r>
      <w:r w:rsidR="00DD1ED8">
        <w:rPr>
          <w:lang w:val="fr-FR"/>
        </w:rPr>
        <w:t>rénovations annuelles : si cet objectif est nettement dépassé au niveau agrégé, la fraction qui doit s’appliquer au logement social est loin d’être atteinte</w:t>
      </w:r>
      <w:r w:rsidR="00D95F27" w:rsidRPr="00D95F27">
        <w:rPr>
          <w:lang w:val="fr-FR"/>
        </w:rPr>
        <w:t xml:space="preserve">. </w:t>
      </w:r>
      <w:r w:rsidR="00DD1ED8">
        <w:rPr>
          <w:lang w:val="fr-FR"/>
        </w:rPr>
        <w:t>Cette situation</w:t>
      </w:r>
      <w:r w:rsidR="00D95F27" w:rsidRPr="00D95F27">
        <w:rPr>
          <w:lang w:val="fr-FR"/>
        </w:rPr>
        <w:t xml:space="preserve"> souligne la nécessité pour les </w:t>
      </w:r>
      <w:r w:rsidR="00DD1ED8">
        <w:rPr>
          <w:lang w:val="fr-FR"/>
        </w:rPr>
        <w:t xml:space="preserve">autorités de définir une métrique claire pour la comptabilisation des rénovations énergétique afin de faciliter l’évaluation de </w:t>
      </w:r>
      <w:r w:rsidR="00D95F27" w:rsidRPr="00D95F27">
        <w:rPr>
          <w:lang w:val="fr-FR"/>
        </w:rPr>
        <w:t>cet objectif politiquement sensible</w:t>
      </w:r>
      <w:r w:rsidR="008C5A46">
        <w:rPr>
          <w:rStyle w:val="Appelnotedebasdep"/>
          <w:lang w:val="fr-FR"/>
        </w:rPr>
        <w:footnoteReference w:id="13"/>
      </w:r>
      <w:r w:rsidR="00D95F27" w:rsidRPr="00D95F27">
        <w:rPr>
          <w:lang w:val="fr-FR"/>
        </w:rPr>
        <w:t xml:space="preserve">. </w:t>
      </w:r>
    </w:p>
    <w:p w14:paraId="0A2B9CDA" w14:textId="2ED00684" w:rsidR="00D95F27" w:rsidRPr="00D95F27" w:rsidRDefault="00145712" w:rsidP="00D95F27">
      <w:pPr>
        <w:rPr>
          <w:lang w:val="fr-FR"/>
        </w:rPr>
      </w:pPr>
      <w:r>
        <w:rPr>
          <w:lang w:val="fr-FR"/>
        </w:rPr>
        <w:t xml:space="preserve">La taxe carbone s’avère </w:t>
      </w:r>
      <w:r w:rsidR="00EF5805">
        <w:rPr>
          <w:lang w:val="fr-FR"/>
        </w:rPr>
        <w:t xml:space="preserve">être </w:t>
      </w:r>
      <w:r>
        <w:rPr>
          <w:lang w:val="fr-FR"/>
        </w:rPr>
        <w:t xml:space="preserve">la politique la plus efficace en termes d’économies d’énergie, </w:t>
      </w:r>
      <w:r w:rsidR="00D95F27" w:rsidRPr="00D95F27">
        <w:rPr>
          <w:lang w:val="fr-FR"/>
        </w:rPr>
        <w:t>mais aussi la plus régressive</w:t>
      </w:r>
      <w:r>
        <w:rPr>
          <w:lang w:val="fr-FR"/>
        </w:rPr>
        <w:t xml:space="preserve"> au sens où elle </w:t>
      </w:r>
      <w:r w:rsidR="009030D8">
        <w:rPr>
          <w:lang w:val="fr-FR"/>
        </w:rPr>
        <w:t>accroît la précarité énergétique</w:t>
      </w:r>
      <w:r w:rsidR="003677E5">
        <w:rPr>
          <w:lang w:val="fr-FR"/>
        </w:rPr>
        <w:t xml:space="preserve"> (</w:t>
      </w:r>
      <w:r w:rsidR="00D95F27" w:rsidRPr="00D95F27">
        <w:rPr>
          <w:lang w:val="fr-FR"/>
        </w:rPr>
        <w:t xml:space="preserve">du moins </w:t>
      </w:r>
      <w:r w:rsidR="009030D8">
        <w:rPr>
          <w:lang w:val="fr-FR"/>
        </w:rPr>
        <w:t>en l’absence d’hypothèse particulière sur l’affectation de</w:t>
      </w:r>
      <w:r w:rsidR="00776E4D">
        <w:rPr>
          <w:lang w:val="fr-FR"/>
        </w:rPr>
        <w:t xml:space="preserve"> se</w:t>
      </w:r>
      <w:r w:rsidR="009030D8">
        <w:rPr>
          <w:lang w:val="fr-FR"/>
        </w:rPr>
        <w:t>s</w:t>
      </w:r>
      <w:r w:rsidR="00D95F27" w:rsidRPr="00D95F27">
        <w:rPr>
          <w:lang w:val="fr-FR"/>
        </w:rPr>
        <w:t xml:space="preserve"> recettes</w:t>
      </w:r>
      <w:r w:rsidR="00641707">
        <w:rPr>
          <w:lang w:val="fr-FR"/>
        </w:rPr>
        <w:t>)</w:t>
      </w:r>
      <w:r w:rsidR="00D95F27" w:rsidRPr="00D95F27">
        <w:rPr>
          <w:lang w:val="fr-FR"/>
        </w:rPr>
        <w:t xml:space="preserve">. Les interactions politiques </w:t>
      </w:r>
      <w:r w:rsidR="00797A72">
        <w:rPr>
          <w:lang w:val="fr-FR"/>
        </w:rPr>
        <w:t>induisent</w:t>
      </w:r>
      <w:r w:rsidR="00D95F27" w:rsidRPr="00D95F27">
        <w:rPr>
          <w:lang w:val="fr-FR"/>
        </w:rPr>
        <w:t xml:space="preserve"> une variation de </w:t>
      </w:r>
      <w:r w:rsidR="00797A72">
        <w:rPr>
          <w:lang w:val="fr-FR"/>
        </w:rPr>
        <w:t xml:space="preserve">l’ordre de </w:t>
      </w:r>
      <w:r w:rsidR="00D95F27" w:rsidRPr="00D95F27">
        <w:rPr>
          <w:lang w:val="fr-FR"/>
        </w:rPr>
        <w:t xml:space="preserve">10 % de </w:t>
      </w:r>
      <w:r w:rsidR="00797A72">
        <w:rPr>
          <w:lang w:val="fr-FR"/>
        </w:rPr>
        <w:t>l’</w:t>
      </w:r>
      <w:r w:rsidR="00D95F27" w:rsidRPr="00D95F27">
        <w:rPr>
          <w:lang w:val="fr-FR"/>
        </w:rPr>
        <w:t>efficacité d</w:t>
      </w:r>
      <w:r w:rsidR="00797A72">
        <w:rPr>
          <w:lang w:val="fr-FR"/>
        </w:rPr>
        <w:t>’</w:t>
      </w:r>
      <w:r w:rsidR="00D95F27" w:rsidRPr="00D95F27">
        <w:rPr>
          <w:lang w:val="fr-FR"/>
        </w:rPr>
        <w:t xml:space="preserve">un instrument. </w:t>
      </w:r>
      <w:r w:rsidR="00475D70">
        <w:rPr>
          <w:lang w:val="fr-FR"/>
        </w:rPr>
        <w:t xml:space="preserve">Le </w:t>
      </w:r>
      <w:r w:rsidR="00CA3302">
        <w:rPr>
          <w:lang w:val="fr-FR"/>
        </w:rPr>
        <w:t>CITE</w:t>
      </w:r>
      <w:r w:rsidR="00D95F27" w:rsidRPr="00D95F27">
        <w:rPr>
          <w:lang w:val="fr-FR"/>
        </w:rPr>
        <w:t xml:space="preserve"> </w:t>
      </w:r>
      <w:r w:rsidR="000C2B73">
        <w:rPr>
          <w:lang w:val="fr-FR"/>
        </w:rPr>
        <w:t>apparaît comme la subvention</w:t>
      </w:r>
      <w:r w:rsidR="000C2B73" w:rsidRPr="00D95F27">
        <w:rPr>
          <w:lang w:val="fr-FR"/>
        </w:rPr>
        <w:t xml:space="preserve"> </w:t>
      </w:r>
      <w:r w:rsidR="00D95F27" w:rsidRPr="00D95F27">
        <w:rPr>
          <w:lang w:val="fr-FR"/>
        </w:rPr>
        <w:t xml:space="preserve">la plus efficace, mais aussi la moins efficiente. </w:t>
      </w:r>
      <w:r w:rsidR="00A1022D">
        <w:rPr>
          <w:lang w:val="fr-FR"/>
        </w:rPr>
        <w:t>L’</w:t>
      </w:r>
      <w:r w:rsidR="00A1022D" w:rsidRPr="00D95F27">
        <w:rPr>
          <w:lang w:val="fr-FR"/>
        </w:rPr>
        <w:t xml:space="preserve">effet levier des subventions est conforme à celui </w:t>
      </w:r>
      <w:r w:rsidR="006475D0">
        <w:rPr>
          <w:lang w:val="fr-FR"/>
        </w:rPr>
        <w:t>d’</w:t>
      </w:r>
      <w:r w:rsidR="00A1022D" w:rsidRPr="00D95F27">
        <w:rPr>
          <w:lang w:val="fr-FR"/>
        </w:rPr>
        <w:t>autres subventions publiques</w:t>
      </w:r>
      <w:r w:rsidR="006475D0">
        <w:rPr>
          <w:lang w:val="fr-FR"/>
        </w:rPr>
        <w:t xml:space="preserve"> documentées dans la littérature</w:t>
      </w:r>
      <w:r w:rsidR="00A1022D" w:rsidRPr="00D95F27">
        <w:rPr>
          <w:lang w:val="fr-FR"/>
        </w:rPr>
        <w:t>.</w:t>
      </w:r>
      <w:r w:rsidR="00A1022D">
        <w:rPr>
          <w:lang w:val="fr-FR"/>
        </w:rPr>
        <w:t xml:space="preserve"> Il peut être amélioré</w:t>
      </w:r>
      <w:r w:rsidR="00475D70">
        <w:rPr>
          <w:lang w:val="fr-FR"/>
        </w:rPr>
        <w:t xml:space="preserve"> en </w:t>
      </w:r>
      <w:r w:rsidR="00CD52C1">
        <w:rPr>
          <w:lang w:val="fr-FR"/>
        </w:rPr>
        <w:t xml:space="preserve">augmentant les taux de subvention de façon inversement </w:t>
      </w:r>
      <w:r w:rsidR="00462066">
        <w:rPr>
          <w:lang w:val="fr-FR"/>
        </w:rPr>
        <w:t>proportionnelle</w:t>
      </w:r>
      <w:r w:rsidR="00CD52C1">
        <w:rPr>
          <w:lang w:val="fr-FR"/>
        </w:rPr>
        <w:t xml:space="preserve"> au revenu, les</w:t>
      </w:r>
      <w:r w:rsidR="00475D70">
        <w:rPr>
          <w:lang w:val="fr-FR"/>
        </w:rPr>
        <w:t xml:space="preserve"> </w:t>
      </w:r>
      <w:r w:rsidR="00D95F27" w:rsidRPr="00D95F27">
        <w:rPr>
          <w:lang w:val="fr-FR"/>
        </w:rPr>
        <w:t xml:space="preserve">ménages </w:t>
      </w:r>
      <w:r w:rsidR="00CD52C1">
        <w:rPr>
          <w:lang w:val="fr-FR"/>
        </w:rPr>
        <w:t>modestes étant</w:t>
      </w:r>
      <w:r w:rsidR="00475D70">
        <w:rPr>
          <w:lang w:val="fr-FR"/>
        </w:rPr>
        <w:t xml:space="preserve"> sur-représentés dans les catégories de logement les moins efficaces</w:t>
      </w:r>
      <w:r w:rsidR="00D95F27" w:rsidRPr="00D95F27">
        <w:rPr>
          <w:lang w:val="fr-FR"/>
        </w:rPr>
        <w:t xml:space="preserve">. </w:t>
      </w:r>
      <w:r w:rsidR="00C160DD">
        <w:rPr>
          <w:lang w:val="fr-FR"/>
        </w:rPr>
        <w:t>U</w:t>
      </w:r>
      <w:r w:rsidR="00A1022D">
        <w:rPr>
          <w:lang w:val="fr-FR"/>
        </w:rPr>
        <w:t>n tel ciblage permet de concilier efficience économique et justice social</w:t>
      </w:r>
      <w:r w:rsidR="00CD52C1">
        <w:rPr>
          <w:lang w:val="fr-FR"/>
        </w:rPr>
        <w:t>e</w:t>
      </w:r>
      <w:r w:rsidR="00A1022D">
        <w:rPr>
          <w:lang w:val="fr-FR"/>
        </w:rPr>
        <w:t xml:space="preserve">. En considérant l’ensemble des politiques, </w:t>
      </w:r>
      <w:r w:rsidR="00122C26">
        <w:rPr>
          <w:lang w:val="fr-FR"/>
        </w:rPr>
        <w:t>le solde</w:t>
      </w:r>
      <w:bookmarkStart w:id="0" w:name="_GoBack"/>
      <w:bookmarkEnd w:id="0"/>
      <w:r w:rsidR="00407CAF">
        <w:rPr>
          <w:lang w:val="fr-FR"/>
        </w:rPr>
        <w:t xml:space="preserve"> budgétaire des recettes de taxe et coût des subventions devrait être excédentaire </w:t>
      </w:r>
      <w:r w:rsidR="00A1022D">
        <w:rPr>
          <w:lang w:val="fr-FR"/>
        </w:rPr>
        <w:t xml:space="preserve">à partir de </w:t>
      </w:r>
      <w:r w:rsidR="00D95F27" w:rsidRPr="00D95F27">
        <w:rPr>
          <w:lang w:val="fr-FR"/>
        </w:rPr>
        <w:t xml:space="preserve">2025. </w:t>
      </w:r>
      <w:r w:rsidR="00A1022D">
        <w:rPr>
          <w:lang w:val="fr-FR"/>
        </w:rPr>
        <w:t>Cette perspective ouvre la voie à une meilleure coordination des dépenses et recettes fiscales liées à la rénovation énergétique</w:t>
      </w:r>
      <w:r w:rsidR="00A1022D" w:rsidRPr="00D95F27">
        <w:rPr>
          <w:lang w:val="fr-FR"/>
        </w:rPr>
        <w:t>.</w:t>
      </w:r>
      <w:r w:rsidR="009061EF">
        <w:rPr>
          <w:lang w:val="fr-FR"/>
        </w:rPr>
        <w:t xml:space="preserve"> Dans une extension en cours, on considère différents modes de recyclage de la taxe carbone – sous forme de </w:t>
      </w:r>
      <w:r w:rsidR="009061EF">
        <w:rPr>
          <w:lang w:val="fr-FR"/>
        </w:rPr>
        <w:lastRenderedPageBreak/>
        <w:t xml:space="preserve">chèque vert ou de subvention à l’efficacité énergétique, </w:t>
      </w:r>
      <w:r w:rsidR="001A3407">
        <w:rPr>
          <w:lang w:val="fr-FR"/>
        </w:rPr>
        <w:t>modélisée comme</w:t>
      </w:r>
      <w:r w:rsidR="009061EF">
        <w:rPr>
          <w:lang w:val="fr-FR"/>
        </w:rPr>
        <w:t xml:space="preserve"> une subvention unique qui agrègerait tous les dispositifs existants (CITE, TVAr, EPTZ, CEE) </w:t>
      </w:r>
      <w:r w:rsidR="00100EB5">
        <w:rPr>
          <w:lang w:val="fr-FR"/>
        </w:rPr>
        <w:t xml:space="preserve">en utilisant le </w:t>
      </w:r>
      <w:r w:rsidR="009061EF">
        <w:rPr>
          <w:lang w:val="fr-FR"/>
        </w:rPr>
        <w:t>régime proportionnel des CEE</w:t>
      </w:r>
      <w:r w:rsidR="0048141B">
        <w:rPr>
          <w:lang w:val="fr-FR"/>
        </w:rPr>
        <w:t xml:space="preserve"> (Bourgeois et </w:t>
      </w:r>
      <w:proofErr w:type="gramStart"/>
      <w:r w:rsidR="0048141B">
        <w:rPr>
          <w:lang w:val="fr-FR"/>
        </w:rPr>
        <w:t>al.,</w:t>
      </w:r>
      <w:proofErr w:type="gramEnd"/>
      <w:r w:rsidR="0048141B">
        <w:rPr>
          <w:lang w:val="fr-FR"/>
        </w:rPr>
        <w:t xml:space="preserve"> 2019).</w:t>
      </w:r>
      <w:r w:rsidR="00E16156">
        <w:rPr>
          <w:lang w:val="fr-FR"/>
        </w:rPr>
        <w:t xml:space="preserve"> Le recyclage en subvention génère des effets distributifs comparables à ceux du chèque vert, avec l’intérêt supplémentaire de stimuler davantage la rénovation, améliorant ainsi le confort des ménages modestes.</w:t>
      </w:r>
    </w:p>
    <w:p w14:paraId="3D82F8E2" w14:textId="3B37FABB" w:rsidR="001F0750" w:rsidRPr="00D95F27" w:rsidRDefault="000E0C45">
      <w:pPr>
        <w:rPr>
          <w:lang w:val="fr-FR"/>
        </w:rPr>
      </w:pPr>
      <w:r>
        <w:rPr>
          <w:lang w:val="fr-FR"/>
        </w:rPr>
        <w:t>Outre cette extension, l</w:t>
      </w:r>
      <w:r w:rsidR="00067FEE">
        <w:rPr>
          <w:lang w:val="fr-FR"/>
        </w:rPr>
        <w:t>’</w:t>
      </w:r>
      <w:r w:rsidR="00E37B94">
        <w:rPr>
          <w:lang w:val="fr-FR"/>
        </w:rPr>
        <w:t xml:space="preserve">exercice </w:t>
      </w:r>
      <w:r w:rsidR="00067FEE">
        <w:rPr>
          <w:lang w:val="fr-FR"/>
        </w:rPr>
        <w:t xml:space="preserve">présenté ici </w:t>
      </w:r>
      <w:r w:rsidR="00E37B94">
        <w:rPr>
          <w:lang w:val="fr-FR"/>
        </w:rPr>
        <w:t>pourrait être prolongé dans au moins trois directions.</w:t>
      </w:r>
      <w:r w:rsidR="00D95F27" w:rsidRPr="00D95F27">
        <w:rPr>
          <w:lang w:val="fr-FR"/>
        </w:rPr>
        <w:t xml:space="preserve"> </w:t>
      </w:r>
      <w:r w:rsidR="00067FEE">
        <w:rPr>
          <w:lang w:val="fr-FR"/>
        </w:rPr>
        <w:t xml:space="preserve">D’abord, dans la mesure où tous les </w:t>
      </w:r>
      <w:r w:rsidR="00D95F27" w:rsidRPr="00D95F27">
        <w:rPr>
          <w:lang w:val="fr-FR"/>
        </w:rPr>
        <w:t xml:space="preserve">objectifs ne sont pas atteints, même avec le </w:t>
      </w:r>
      <w:r w:rsidR="00067FEE">
        <w:rPr>
          <w:lang w:val="fr-FR"/>
        </w:rPr>
        <w:t xml:space="preserve">bouquet </w:t>
      </w:r>
      <w:r w:rsidR="00D95F27" w:rsidRPr="00D95F27">
        <w:rPr>
          <w:lang w:val="fr-FR"/>
        </w:rPr>
        <w:t xml:space="preserve">de politiques le plus </w:t>
      </w:r>
      <w:r w:rsidR="00067FEE">
        <w:rPr>
          <w:lang w:val="fr-FR"/>
        </w:rPr>
        <w:t>ambitieux</w:t>
      </w:r>
      <w:r w:rsidR="00D95F27" w:rsidRPr="00D95F27">
        <w:rPr>
          <w:lang w:val="fr-FR"/>
        </w:rPr>
        <w:t>, de</w:t>
      </w:r>
      <w:r w:rsidR="00067FEE">
        <w:rPr>
          <w:lang w:val="fr-FR"/>
        </w:rPr>
        <w:t>s</w:t>
      </w:r>
      <w:r w:rsidR="00D95F27" w:rsidRPr="00D95F27">
        <w:rPr>
          <w:lang w:val="fr-FR"/>
        </w:rPr>
        <w:t xml:space="preserve"> politiques </w:t>
      </w:r>
      <w:r w:rsidR="00067FEE">
        <w:rPr>
          <w:lang w:val="fr-FR"/>
        </w:rPr>
        <w:t xml:space="preserve">supplémentaires </w:t>
      </w:r>
      <w:r w:rsidR="00D95F27" w:rsidRPr="00D95F27">
        <w:rPr>
          <w:lang w:val="fr-FR"/>
        </w:rPr>
        <w:t>pourraient s</w:t>
      </w:r>
      <w:r w:rsidR="00067FEE">
        <w:rPr>
          <w:lang w:val="fr-FR"/>
        </w:rPr>
        <w:t>’</w:t>
      </w:r>
      <w:r w:rsidR="00D95F27" w:rsidRPr="00D95F27">
        <w:rPr>
          <w:lang w:val="fr-FR"/>
        </w:rPr>
        <w:t xml:space="preserve">avérer nécessaires. </w:t>
      </w:r>
      <w:r w:rsidR="00301FBA">
        <w:rPr>
          <w:lang w:val="fr-FR"/>
        </w:rPr>
        <w:t xml:space="preserve">Des instruments régulièrement évoqués dans le débat public, comme </w:t>
      </w:r>
      <w:r w:rsidR="00D95F27" w:rsidRPr="00D95F27">
        <w:rPr>
          <w:lang w:val="fr-FR"/>
        </w:rPr>
        <w:t xml:space="preserve">une obligation de </w:t>
      </w:r>
      <w:r w:rsidR="00301FBA">
        <w:rPr>
          <w:lang w:val="fr-FR"/>
        </w:rPr>
        <w:t xml:space="preserve">rénovation à chaque mutation d’un logement </w:t>
      </w:r>
      <w:r w:rsidR="00D95F27" w:rsidRPr="00D95F27">
        <w:rPr>
          <w:lang w:val="fr-FR"/>
        </w:rPr>
        <w:t xml:space="preserve">ou </w:t>
      </w:r>
      <w:r w:rsidR="00301FBA">
        <w:rPr>
          <w:lang w:val="fr-FR"/>
        </w:rPr>
        <w:t>une modulation de la fiscalité foncière en fonction de critères de performance énergétique pourraient être modélisés. Ces travaux pourraient s’appuyer sur des simulations analogues réalisées</w:t>
      </w:r>
      <w:r w:rsidR="00D95F27" w:rsidRPr="00D95F27">
        <w:rPr>
          <w:lang w:val="fr-FR"/>
        </w:rPr>
        <w:t xml:space="preserve"> </w:t>
      </w:r>
      <w:r w:rsidR="00301FBA">
        <w:rPr>
          <w:lang w:val="fr-FR"/>
        </w:rPr>
        <w:t xml:space="preserve">avec </w:t>
      </w:r>
      <w:r w:rsidR="00D95F27" w:rsidRPr="00D95F27">
        <w:rPr>
          <w:lang w:val="fr-FR"/>
        </w:rPr>
        <w:t xml:space="preserve">la version précédente du modèle et évaluées par rapport </w:t>
      </w:r>
      <w:r w:rsidR="00301FBA">
        <w:rPr>
          <w:lang w:val="fr-FR"/>
        </w:rPr>
        <w:t xml:space="preserve">aux objectifs </w:t>
      </w:r>
      <w:r w:rsidR="004676AF">
        <w:rPr>
          <w:lang w:val="fr-FR"/>
        </w:rPr>
        <w:t xml:space="preserve">désormais </w:t>
      </w:r>
      <w:r w:rsidR="00301FBA">
        <w:rPr>
          <w:lang w:val="fr-FR"/>
        </w:rPr>
        <w:t>obsolètes du Grenelle de l’environnement</w:t>
      </w:r>
      <w:r w:rsidR="00D95F27" w:rsidRPr="00D95F27">
        <w:rPr>
          <w:lang w:val="fr-FR"/>
        </w:rPr>
        <w:t xml:space="preserve"> (Giraudet et </w:t>
      </w:r>
      <w:proofErr w:type="gramStart"/>
      <w:r w:rsidR="00D95F27" w:rsidRPr="00D95F27">
        <w:rPr>
          <w:lang w:val="fr-FR"/>
        </w:rPr>
        <w:t>al.,</w:t>
      </w:r>
      <w:proofErr w:type="gramEnd"/>
      <w:r w:rsidR="00D95F27" w:rsidRPr="00D95F27">
        <w:rPr>
          <w:lang w:val="fr-FR"/>
        </w:rPr>
        <w:t xml:space="preserve"> 2011 ; Fuk Chun Wing et Kiefer, 2015). </w:t>
      </w:r>
      <w:r w:rsidR="00570B46">
        <w:rPr>
          <w:lang w:val="fr-FR"/>
        </w:rPr>
        <w:t xml:space="preserve">Ensuite, les barrières cognitives et stratégiques </w:t>
      </w:r>
      <w:r w:rsidR="00D95F27" w:rsidRPr="00D95F27">
        <w:rPr>
          <w:lang w:val="fr-FR"/>
        </w:rPr>
        <w:t xml:space="preserve">qui entravent </w:t>
      </w:r>
      <w:r w:rsidR="00570B46">
        <w:rPr>
          <w:lang w:val="fr-FR"/>
        </w:rPr>
        <w:t>le recours à l’</w:t>
      </w:r>
      <w:r w:rsidR="00CA3302">
        <w:rPr>
          <w:lang w:val="fr-FR"/>
        </w:rPr>
        <w:t>EPTZ</w:t>
      </w:r>
      <w:r w:rsidR="00D95F27" w:rsidRPr="00D95F27">
        <w:rPr>
          <w:lang w:val="fr-FR"/>
        </w:rPr>
        <w:t xml:space="preserve"> </w:t>
      </w:r>
      <w:r w:rsidR="00570B46">
        <w:rPr>
          <w:lang w:val="fr-FR"/>
        </w:rPr>
        <w:t xml:space="preserve">doivent </w:t>
      </w:r>
      <w:r w:rsidR="00D95F27" w:rsidRPr="00D95F27">
        <w:rPr>
          <w:lang w:val="fr-FR"/>
        </w:rPr>
        <w:t>être pris</w:t>
      </w:r>
      <w:r w:rsidR="00570B46">
        <w:rPr>
          <w:lang w:val="fr-FR"/>
        </w:rPr>
        <w:t>es</w:t>
      </w:r>
      <w:r w:rsidR="00D95F27" w:rsidRPr="00D95F27">
        <w:rPr>
          <w:lang w:val="fr-FR"/>
        </w:rPr>
        <w:t xml:space="preserve"> en compte. </w:t>
      </w:r>
      <w:r w:rsidR="00570B46">
        <w:rPr>
          <w:lang w:val="fr-FR"/>
        </w:rPr>
        <w:t xml:space="preserve">Cette tâche </w:t>
      </w:r>
      <w:r w:rsidR="00D95F27" w:rsidRPr="00D95F27">
        <w:rPr>
          <w:lang w:val="fr-FR"/>
        </w:rPr>
        <w:t xml:space="preserve">nécessite </w:t>
      </w:r>
      <w:r w:rsidR="00570B46">
        <w:rPr>
          <w:lang w:val="fr-FR"/>
        </w:rPr>
        <w:t xml:space="preserve">un travail préalable de microéconomie appliquée </w:t>
      </w:r>
      <w:r w:rsidR="001F5BCF">
        <w:rPr>
          <w:lang w:val="fr-FR"/>
        </w:rPr>
        <w:t xml:space="preserve">visant à </w:t>
      </w:r>
      <w:r w:rsidR="00570B46">
        <w:rPr>
          <w:lang w:val="fr-FR"/>
        </w:rPr>
        <w:t>identifier ces barrières</w:t>
      </w:r>
      <w:r w:rsidR="00D95F27" w:rsidRPr="00D95F27">
        <w:rPr>
          <w:lang w:val="fr-FR"/>
        </w:rPr>
        <w:t xml:space="preserve">. </w:t>
      </w:r>
      <w:r w:rsidR="00570B46">
        <w:rPr>
          <w:lang w:val="fr-FR"/>
        </w:rPr>
        <w:t>Enfin</w:t>
      </w:r>
      <w:r w:rsidR="00D95F27" w:rsidRPr="00D95F27">
        <w:rPr>
          <w:lang w:val="fr-FR"/>
        </w:rPr>
        <w:t xml:space="preserve">, une évaluation plus complète des politiques </w:t>
      </w:r>
      <w:r w:rsidR="00570B46">
        <w:rPr>
          <w:lang w:val="fr-FR"/>
        </w:rPr>
        <w:t>intègrerait d</w:t>
      </w:r>
      <w:r w:rsidR="00D95F27" w:rsidRPr="00D95F27">
        <w:rPr>
          <w:lang w:val="fr-FR"/>
        </w:rPr>
        <w:t>es effets d</w:t>
      </w:r>
      <w:r w:rsidR="00570B46">
        <w:rPr>
          <w:lang w:val="fr-FR"/>
        </w:rPr>
        <w:t>’</w:t>
      </w:r>
      <w:r w:rsidR="00D95F27" w:rsidRPr="00D95F27">
        <w:rPr>
          <w:lang w:val="fr-FR"/>
        </w:rPr>
        <w:t xml:space="preserve">équilibre général et </w:t>
      </w:r>
      <w:r w:rsidR="00570B46">
        <w:rPr>
          <w:lang w:val="fr-FR"/>
        </w:rPr>
        <w:t>une quantification des réductions des émissions de CO</w:t>
      </w:r>
      <w:r w:rsidR="00570B46" w:rsidRPr="00570B46">
        <w:rPr>
          <w:vertAlign w:val="subscript"/>
          <w:lang w:val="fr-FR"/>
        </w:rPr>
        <w:t>2</w:t>
      </w:r>
      <w:r w:rsidR="00D95F27" w:rsidRPr="00D95F27">
        <w:rPr>
          <w:lang w:val="fr-FR"/>
        </w:rPr>
        <w:t xml:space="preserve">. </w:t>
      </w:r>
      <w:r w:rsidR="00570B46">
        <w:rPr>
          <w:lang w:val="fr-FR"/>
        </w:rPr>
        <w:t xml:space="preserve">Là encore, un tel exercice pourrait s’appuyer sur des travaux précédents liant le module Res-IRF au modèle d’équilibre général </w:t>
      </w:r>
      <w:r w:rsidR="00D95F27" w:rsidRPr="00D95F27">
        <w:rPr>
          <w:lang w:val="fr-FR"/>
        </w:rPr>
        <w:t xml:space="preserve">IMACLIM-R France et un </w:t>
      </w:r>
      <w:r w:rsidR="00570B46">
        <w:rPr>
          <w:lang w:val="fr-FR"/>
        </w:rPr>
        <w:t>module technico-économique de génération d’électricité</w:t>
      </w:r>
      <w:r w:rsidR="00D95F27" w:rsidRPr="00D95F27">
        <w:rPr>
          <w:lang w:val="fr-FR"/>
        </w:rPr>
        <w:t xml:space="preserve"> en France (Mathy et </w:t>
      </w:r>
      <w:proofErr w:type="gramStart"/>
      <w:r w:rsidR="00D95F27" w:rsidRPr="00D95F27">
        <w:rPr>
          <w:lang w:val="fr-FR"/>
        </w:rPr>
        <w:t>al.,</w:t>
      </w:r>
      <w:proofErr w:type="gramEnd"/>
      <w:r w:rsidR="00D95F27" w:rsidRPr="00D95F27">
        <w:rPr>
          <w:lang w:val="fr-FR"/>
        </w:rPr>
        <w:t xml:space="preserve"> 2015).</w:t>
      </w:r>
    </w:p>
    <w:p w14:paraId="6492CF44" w14:textId="77777777" w:rsidR="00B0157C" w:rsidRPr="00D95F27" w:rsidRDefault="00B0157C">
      <w:pPr>
        <w:rPr>
          <w:lang w:val="fr-FR"/>
        </w:rPr>
      </w:pPr>
      <w:r w:rsidRPr="00D95F27">
        <w:rPr>
          <w:lang w:val="fr-FR"/>
        </w:rPr>
        <w:br w:type="page"/>
      </w:r>
    </w:p>
    <w:p w14:paraId="1173C17C" w14:textId="77777777" w:rsidR="00B0157C" w:rsidRPr="00121530" w:rsidRDefault="00B0157C" w:rsidP="00B0157C">
      <w:pPr>
        <w:pStyle w:val="Titre1"/>
        <w:numPr>
          <w:ilvl w:val="0"/>
          <w:numId w:val="0"/>
        </w:numPr>
        <w:ind w:left="432" w:hanging="432"/>
        <w:rPr>
          <w:lang w:val="fr-FR"/>
        </w:rPr>
      </w:pPr>
      <w:r w:rsidRPr="00121530">
        <w:rPr>
          <w:lang w:val="fr-FR"/>
        </w:rPr>
        <w:lastRenderedPageBreak/>
        <w:t>References</w:t>
      </w:r>
    </w:p>
    <w:p w14:paraId="20D27722" w14:textId="77777777" w:rsidR="00B0157C" w:rsidRPr="009B7BEA" w:rsidRDefault="00B0157C" w:rsidP="00B0157C">
      <w:pPr>
        <w:pStyle w:val="Notedebasdepage"/>
        <w:ind w:firstLine="284"/>
        <w:rPr>
          <w:lang w:val="fr-FR"/>
        </w:rPr>
      </w:pPr>
    </w:p>
    <w:p w14:paraId="453118F6" w14:textId="274B0BB8" w:rsidR="00B0157C" w:rsidRPr="00E1704D" w:rsidRDefault="00B0157C" w:rsidP="00B0157C">
      <w:pPr>
        <w:pStyle w:val="Notedebasdepage"/>
        <w:ind w:hanging="482"/>
        <w:rPr>
          <w:lang w:val="fr-FR"/>
        </w:rPr>
      </w:pPr>
      <w:r w:rsidRPr="00E1704D">
        <w:rPr>
          <w:lang w:val="fr-FR"/>
        </w:rPr>
        <w:t>Allaire, D., G. Gaudière, Y. Majchrzak, C. Masi, 2008, « Problématique qualitative et quantitative de la sortie du parc national de bâtiments », Mémoire du Groupe d’Analyse d’Action Publique, ENPC.</w:t>
      </w:r>
    </w:p>
    <w:p w14:paraId="07976565" w14:textId="77777777" w:rsidR="00B0157C" w:rsidRPr="009B7BEA" w:rsidRDefault="00B0157C" w:rsidP="00B0157C">
      <w:pPr>
        <w:pStyle w:val="Notedebasdepage"/>
        <w:ind w:hanging="482"/>
        <w:rPr>
          <w:lang w:val="fr-FR"/>
        </w:rPr>
      </w:pPr>
      <w:proofErr w:type="gramStart"/>
      <w:r w:rsidRPr="005771E8">
        <w:t>Allcott, H., Greenstone, M., 2012.</w:t>
      </w:r>
      <w:proofErr w:type="gramEnd"/>
      <w:r w:rsidRPr="005771E8">
        <w:t xml:space="preserve"> Is There an Energy Efficiency Gap? </w:t>
      </w:r>
      <w:r w:rsidRPr="00121530">
        <w:rPr>
          <w:i/>
          <w:lang w:val="fr-FR"/>
        </w:rPr>
        <w:t>Journal of Economic Perspectives</w:t>
      </w:r>
      <w:r w:rsidRPr="00121530">
        <w:rPr>
          <w:lang w:val="fr-FR"/>
        </w:rPr>
        <w:t xml:space="preserve"> 26, 3–28. DOI : 10.1257/jep.26.1.3</w:t>
      </w:r>
    </w:p>
    <w:p w14:paraId="2C57CED0" w14:textId="569923C5" w:rsidR="00B0157C" w:rsidRPr="00122C26" w:rsidRDefault="00D245F1" w:rsidP="00B0157C">
      <w:pPr>
        <w:pStyle w:val="Notedebasdepage"/>
        <w:ind w:hanging="482"/>
      </w:pPr>
      <w:r w:rsidRPr="00736FA0">
        <w:rPr>
          <w:lang w:val="fr-FR"/>
        </w:rPr>
        <w:t>A</w:t>
      </w:r>
      <w:r>
        <w:rPr>
          <w:lang w:val="fr-FR"/>
        </w:rPr>
        <w:t>deme</w:t>
      </w:r>
      <w:r w:rsidR="00B0157C" w:rsidRPr="00736FA0">
        <w:rPr>
          <w:lang w:val="fr-FR"/>
        </w:rPr>
        <w:t xml:space="preserve">, 2015, Chiffres clé Climat, air, énergie. </w:t>
      </w:r>
      <w:hyperlink r:id="rId24" w:history="1">
        <w:r w:rsidR="00A7280A" w:rsidRPr="00122C26">
          <w:rPr>
            <w:rStyle w:val="Lienhypertexte"/>
          </w:rPr>
          <w:t>https://www.ademe.fr/sites/default/files/assets/documents/chiffres-cles-climat-air-energie-8705-bd.pdf</w:t>
        </w:r>
      </w:hyperlink>
    </w:p>
    <w:p w14:paraId="30441288" w14:textId="71155E44" w:rsidR="00A7280A" w:rsidRPr="005E0E66" w:rsidRDefault="00A7280A" w:rsidP="00B0157C">
      <w:pPr>
        <w:pStyle w:val="Notedebasdepage"/>
        <w:ind w:hanging="482"/>
      </w:pPr>
      <w:r>
        <w:rPr>
          <w:lang w:val="fr-FR"/>
        </w:rPr>
        <w:t>Ademe, 2016. Enquête OPEN.</w:t>
      </w:r>
      <w:r w:rsidRPr="00121530">
        <w:rPr>
          <w:lang w:val="fr-FR"/>
        </w:rPr>
        <w:t xml:space="preserve"> Campagne 2015. Travaux réalisés en 2014. </w:t>
      </w:r>
      <w:hyperlink r:id="rId25" w:history="1">
        <w:r w:rsidRPr="005771E8">
          <w:rPr>
            <w:rStyle w:val="Lienhypertexte"/>
            <w:rFonts w:eastAsiaTheme="majorEastAsia"/>
          </w:rPr>
          <w:t>http://www.ademe.fr/sites/default/files/assets/documents/open_2015_8679.pdf</w:t>
        </w:r>
      </w:hyperlink>
    </w:p>
    <w:p w14:paraId="32F53BEC" w14:textId="77777777" w:rsidR="00BC114F" w:rsidRPr="005E0E66" w:rsidRDefault="00BC114F" w:rsidP="00BC114F">
      <w:pPr>
        <w:pStyle w:val="Notedebasdepage"/>
        <w:ind w:hanging="482"/>
        <w:rPr>
          <w:lang w:val="en-US"/>
        </w:rPr>
      </w:pPr>
      <w:r w:rsidRPr="00824BC1">
        <w:rPr>
          <w:lang w:val="fr-FR"/>
        </w:rPr>
        <w:t xml:space="preserve">Ademe, 2018. Enquête TREMI. Travaux de rénovation énergétique des maisons individuelles. </w:t>
      </w:r>
      <w:proofErr w:type="gramStart"/>
      <w:r w:rsidRPr="005E0E66">
        <w:rPr>
          <w:lang w:val="en-US"/>
        </w:rPr>
        <w:t>Campagne 2017.</w:t>
      </w:r>
      <w:proofErr w:type="gramEnd"/>
    </w:p>
    <w:p w14:paraId="558636A1" w14:textId="77777777" w:rsidR="00B0157C" w:rsidRPr="005E0E66" w:rsidRDefault="00B0157C" w:rsidP="00B0157C">
      <w:pPr>
        <w:pStyle w:val="Notedebasdepage"/>
        <w:ind w:hanging="482"/>
        <w:rPr>
          <w:lang w:val="en-US"/>
        </w:rPr>
      </w:pPr>
      <w:r w:rsidRPr="005771E8">
        <w:t xml:space="preserve">Anderson, S.T., Kellogg, R., Sallee, J.M., 2013. What do consumers believe about future gasoline prices? </w:t>
      </w:r>
      <w:r w:rsidRPr="005E0E66">
        <w:rPr>
          <w:i/>
          <w:lang w:val="en-US"/>
        </w:rPr>
        <w:t>Journal of Environmental Economics and Management</w:t>
      </w:r>
      <w:r w:rsidRPr="005E0E66">
        <w:rPr>
          <w:lang w:val="en-US"/>
        </w:rPr>
        <w:t xml:space="preserve"> 66, 383–403. DOI: 10.1016/j.jeem.2013.07.002</w:t>
      </w:r>
    </w:p>
    <w:p w14:paraId="7AE2A02F" w14:textId="77777777" w:rsidR="00B0157C" w:rsidRPr="005771E8" w:rsidRDefault="00B0157C" w:rsidP="00B0157C">
      <w:pPr>
        <w:pStyle w:val="Notedebasdepage"/>
        <w:ind w:hanging="482"/>
      </w:pPr>
      <w:r w:rsidRPr="005771E8">
        <w:t xml:space="preserve">Aydin, E., Kok, N., Brounen, D., 2017. Energy efficiency and household behavior: the rebound effect in the residential sector. </w:t>
      </w:r>
      <w:r w:rsidRPr="005771E8">
        <w:rPr>
          <w:i/>
        </w:rPr>
        <w:t>The RAND Journal of Economics</w:t>
      </w:r>
      <w:r w:rsidRPr="005771E8">
        <w:t xml:space="preserve"> 48, 749–782. DOI: 10.1111/1756-2171.12190</w:t>
      </w:r>
    </w:p>
    <w:p w14:paraId="5BCC664E" w14:textId="1AADE55F" w:rsidR="00FE378A" w:rsidRDefault="00FE378A" w:rsidP="00B0157C">
      <w:pPr>
        <w:pStyle w:val="Notedebasdepage"/>
        <w:ind w:hanging="482"/>
      </w:pPr>
      <w:proofErr w:type="gramStart"/>
      <w:r w:rsidRPr="00FE378A">
        <w:t>Bourgeois, C., Giraudet, L.-G., Quirion, P., 2019.</w:t>
      </w:r>
      <w:proofErr w:type="gramEnd"/>
      <w:r w:rsidRPr="00FE378A">
        <w:t xml:space="preserve"> Social-environmental-economic trade-offs associated with carbon-tax revenue recycling, in: Proceedings of the ECEEE 2019 Summer Study. pp. 1365–1372. </w:t>
      </w:r>
      <w:hyperlink r:id="rId26" w:history="1">
        <w:r w:rsidRPr="007827AD">
          <w:rPr>
            <w:rStyle w:val="Lienhypertexte"/>
          </w:rPr>
          <w:t>https://doi.org/https://www.eceee.org/library/conference_proceedings/eceee_Summer_Studies/2019/7-make-buildings-policies-great-again/social-environmental-economic-trade-offs-associated-with-carbon-tax-revenue-recycling/</w:t>
        </w:r>
      </w:hyperlink>
    </w:p>
    <w:p w14:paraId="63282AD3" w14:textId="4B7DA4EA" w:rsidR="00B0157C" w:rsidRPr="005771E8" w:rsidRDefault="00B0157C" w:rsidP="00B0157C">
      <w:pPr>
        <w:pStyle w:val="Notedebasdepage"/>
        <w:ind w:hanging="482"/>
      </w:pPr>
      <w:proofErr w:type="gramStart"/>
      <w:r w:rsidRPr="005771E8">
        <w:t>Branger, F., L.-G.</w:t>
      </w:r>
      <w:proofErr w:type="gramEnd"/>
      <w:r w:rsidRPr="005771E8">
        <w:t xml:space="preserve"> Giraudet, C. Guivarch, P. Quirion, 2015, Global sensitivity analysis of an energy-economy model of the residential building sector, </w:t>
      </w:r>
      <w:r w:rsidRPr="005771E8">
        <w:rPr>
          <w:i/>
        </w:rPr>
        <w:t>Environmental Modelling &amp; Software</w:t>
      </w:r>
      <w:r w:rsidRPr="005771E8">
        <w:t>, 70:45-54. DOI: 10.1016/j.envsoft.2015.03.021</w:t>
      </w:r>
    </w:p>
    <w:p w14:paraId="16FFD552" w14:textId="77777777" w:rsidR="00B0157C" w:rsidRPr="005771E8" w:rsidRDefault="00B0157C" w:rsidP="00B0157C">
      <w:pPr>
        <w:pStyle w:val="Notedebasdepage"/>
        <w:ind w:hanging="482"/>
      </w:pPr>
      <w:proofErr w:type="gramStart"/>
      <w:r w:rsidRPr="005771E8">
        <w:t>Cayla, J.-M., D. Osso, 2013.</w:t>
      </w:r>
      <w:proofErr w:type="gramEnd"/>
      <w:r w:rsidRPr="005771E8">
        <w:t xml:space="preserve"> Does energy efficiency reduce </w:t>
      </w:r>
      <w:proofErr w:type="gramStart"/>
      <w:r w:rsidRPr="005771E8">
        <w:t>inequalities ?</w:t>
      </w:r>
      <w:proofErr w:type="gramEnd"/>
      <w:r w:rsidRPr="005771E8">
        <w:t xml:space="preserve"> </w:t>
      </w:r>
      <w:proofErr w:type="gramStart"/>
      <w:r w:rsidRPr="005771E8">
        <w:t>Impact of policies in residential sector on household budget.”</w:t>
      </w:r>
      <w:proofErr w:type="gramEnd"/>
      <w:r w:rsidRPr="005771E8">
        <w:t xml:space="preserve"> </w:t>
      </w:r>
      <w:proofErr w:type="gramStart"/>
      <w:r w:rsidRPr="005771E8">
        <w:t>Proceedings of the ECEEE Summer Study.</w:t>
      </w:r>
      <w:proofErr w:type="gramEnd"/>
      <w:r w:rsidRPr="005771E8">
        <w:t xml:space="preserve"> https://www.eceee.org/library/conference_proceedings/eceee_Summer_Studies/2013/5a-cutting-the-energy-use-of-buildings-projects-and-technologies/does-energy-efficiency-reduce-inequalities-impact-of-policies-in-residential-sector-on-household-budget/</w:t>
      </w:r>
    </w:p>
    <w:p w14:paraId="6FA75725" w14:textId="77777777" w:rsidR="00B0157C" w:rsidRPr="009B7BEA" w:rsidRDefault="00B0157C" w:rsidP="00B0157C">
      <w:pPr>
        <w:pStyle w:val="Notedebasdepage"/>
        <w:ind w:hanging="482"/>
        <w:rPr>
          <w:lang w:val="fr-FR"/>
        </w:rPr>
      </w:pPr>
      <w:r w:rsidRPr="00121530">
        <w:rPr>
          <w:lang w:val="fr-FR"/>
        </w:rPr>
        <w:t>CGDD, 2015. Un habitat plus compact et moins énergivore : pour quels coûts de construction ? Etudes &amp; Documents 135. http://temis.documentation.de</w:t>
      </w:r>
      <w:r w:rsidRPr="009B7BEA">
        <w:rPr>
          <w:lang w:val="fr-FR"/>
        </w:rPr>
        <w:t>veloppement-durable.gouv.fr/docs/Temis/0083/Temis-0083375/22297.pdf</w:t>
      </w:r>
    </w:p>
    <w:p w14:paraId="0D7DE88E" w14:textId="77777777" w:rsidR="00E11AE2" w:rsidRDefault="00E11AE2" w:rsidP="00E11AE2">
      <w:pPr>
        <w:pStyle w:val="Notedebasdepage"/>
        <w:ind w:hanging="482"/>
      </w:pPr>
      <w:proofErr w:type="gramStart"/>
      <w:r>
        <w:t>Charlier, D., Legendre, B., 2019.</w:t>
      </w:r>
      <w:proofErr w:type="gramEnd"/>
      <w:r>
        <w:t xml:space="preserve"> </w:t>
      </w:r>
      <w:proofErr w:type="gramStart"/>
      <w:r>
        <w:t>A Multidimensional Approach to Measuring Fuel Poverty.</w:t>
      </w:r>
      <w:proofErr w:type="gramEnd"/>
      <w:r>
        <w:t xml:space="preserve"> Energy Journal 40, 27–53. https://doi.org/10.5547/01956574.40.2.bleg</w:t>
      </w:r>
    </w:p>
    <w:p w14:paraId="324F55B8" w14:textId="77777777" w:rsidR="00E11AE2" w:rsidRDefault="00E11AE2" w:rsidP="00E11AE2">
      <w:pPr>
        <w:pStyle w:val="Notedebasdepage"/>
        <w:ind w:hanging="482"/>
      </w:pPr>
      <w:proofErr w:type="gramStart"/>
      <w:r>
        <w:t>Charlier, D., Risch, A., 2012.</w:t>
      </w:r>
      <w:proofErr w:type="gramEnd"/>
      <w:r>
        <w:t xml:space="preserve"> Evaluation of the impact of environmental public policy measures on energy consumption and greenhouse gas emissions in the French residential sector. Energy Policy 46, 170–184. https://doi.org/10.1016/j.enpol.2012.03.048</w:t>
      </w:r>
    </w:p>
    <w:p w14:paraId="76000335" w14:textId="5E121C5B" w:rsidR="00E11AE2" w:rsidRDefault="00E11AE2" w:rsidP="00E11AE2">
      <w:pPr>
        <w:pStyle w:val="Notedebasdepage"/>
        <w:ind w:hanging="482"/>
      </w:pPr>
      <w:proofErr w:type="gramStart"/>
      <w:r>
        <w:t>Charlier, D., Risch, A., Salmon, C., 2018.</w:t>
      </w:r>
      <w:proofErr w:type="gramEnd"/>
      <w:r>
        <w:t xml:space="preserve"> Energy Burden Alleviation and Greenhouse Gas Emissions Reduction: Can We Reach Two Objectives With One Policy? Ecological Economics 143, 294–313. </w:t>
      </w:r>
      <w:hyperlink r:id="rId27" w:history="1">
        <w:r w:rsidRPr="007827AD">
          <w:rPr>
            <w:rStyle w:val="Lienhypertexte"/>
          </w:rPr>
          <w:t>https://doi.org/10.1016/j.ecolecon.2017.07.002</w:t>
        </w:r>
      </w:hyperlink>
    </w:p>
    <w:p w14:paraId="5265CBCA" w14:textId="79880D66" w:rsidR="00736FA0" w:rsidRPr="005E0E66" w:rsidRDefault="00736FA0" w:rsidP="00E11AE2">
      <w:pPr>
        <w:pStyle w:val="Notedebasdepage"/>
        <w:ind w:hanging="482"/>
        <w:rPr>
          <w:lang w:val="en-US"/>
        </w:rPr>
      </w:pPr>
      <w:proofErr w:type="gramStart"/>
      <w:r>
        <w:t>Combet, E., Ghersi, F., Hourcade, J. C., &amp; Thubin, C. (2010).</w:t>
      </w:r>
      <w:proofErr w:type="gramEnd"/>
      <w:r>
        <w:t xml:space="preserve"> </w:t>
      </w:r>
      <w:r w:rsidRPr="00121530">
        <w:rPr>
          <w:lang w:val="fr-FR"/>
        </w:rPr>
        <w:t xml:space="preserve">La fiscalité carbone au risque des enjeux d'équité. </w:t>
      </w:r>
      <w:proofErr w:type="gramStart"/>
      <w:r w:rsidRPr="005E0E66">
        <w:rPr>
          <w:i/>
          <w:iCs/>
          <w:lang w:val="en-US"/>
        </w:rPr>
        <w:t>Revue française d'économie</w:t>
      </w:r>
      <w:r w:rsidRPr="005E0E66">
        <w:rPr>
          <w:lang w:val="en-US"/>
        </w:rPr>
        <w:t xml:space="preserve">, </w:t>
      </w:r>
      <w:r w:rsidRPr="005E0E66">
        <w:rPr>
          <w:i/>
          <w:iCs/>
          <w:lang w:val="en-US"/>
        </w:rPr>
        <w:t>25</w:t>
      </w:r>
      <w:r w:rsidRPr="005E0E66">
        <w:rPr>
          <w:lang w:val="en-US"/>
        </w:rPr>
        <w:t>(2), 59-91.</w:t>
      </w:r>
      <w:proofErr w:type="gramEnd"/>
    </w:p>
    <w:p w14:paraId="4530EBF8" w14:textId="67C1F101" w:rsidR="00BB2865" w:rsidRDefault="00BB2865" w:rsidP="00B0157C">
      <w:pPr>
        <w:pStyle w:val="Notedebasdepage"/>
        <w:ind w:hanging="482"/>
      </w:pPr>
      <w:proofErr w:type="gramStart"/>
      <w:r w:rsidRPr="00BB2865">
        <w:t>Fowlie, M., Greenstone, M., Wolfram, C., 2018.</w:t>
      </w:r>
      <w:proofErr w:type="gramEnd"/>
      <w:r w:rsidRPr="00BB2865">
        <w:t xml:space="preserve"> Do Energy Efficiency Investments Deliver? </w:t>
      </w:r>
      <w:proofErr w:type="gramStart"/>
      <w:r w:rsidRPr="00BB2865">
        <w:t>Evidence from the Weatherization Assistance Program.</w:t>
      </w:r>
      <w:proofErr w:type="gramEnd"/>
      <w:r w:rsidRPr="00BB2865">
        <w:t xml:space="preserve"> Q J Econ 133, 1597–1644. </w:t>
      </w:r>
      <w:hyperlink r:id="rId28" w:history="1">
        <w:r w:rsidRPr="007827AD">
          <w:rPr>
            <w:rStyle w:val="Lienhypertexte"/>
          </w:rPr>
          <w:t>https://doi.org/10.1093/qje/qjy005</w:t>
        </w:r>
      </w:hyperlink>
    </w:p>
    <w:p w14:paraId="6EE68EDF" w14:textId="00D96017" w:rsidR="00434CC1" w:rsidRDefault="00434CC1" w:rsidP="00B0157C">
      <w:pPr>
        <w:pStyle w:val="Notedebasdepage"/>
        <w:ind w:hanging="482"/>
      </w:pPr>
      <w:r w:rsidRPr="00434CC1">
        <w:t xml:space="preserve">Gerarden, T.D., Newell, R.G., Stavins, R.N., 2017. </w:t>
      </w:r>
      <w:proofErr w:type="gramStart"/>
      <w:r w:rsidRPr="00434CC1">
        <w:t>Assessing the Energy-Efficiency Gap.</w:t>
      </w:r>
      <w:proofErr w:type="gramEnd"/>
      <w:r w:rsidRPr="00434CC1">
        <w:t xml:space="preserve"> Journal of Economic Literature 55, 1486–1525. </w:t>
      </w:r>
      <w:hyperlink r:id="rId29" w:history="1">
        <w:r w:rsidRPr="007827AD">
          <w:rPr>
            <w:rStyle w:val="Lienhypertexte"/>
          </w:rPr>
          <w:t>https://doi.org/10.1257/jel.20161360</w:t>
        </w:r>
      </w:hyperlink>
    </w:p>
    <w:p w14:paraId="238C1E59" w14:textId="1E03FFCB" w:rsidR="00B0157C" w:rsidRPr="005E0E66" w:rsidRDefault="00B0157C" w:rsidP="00B0157C">
      <w:pPr>
        <w:pStyle w:val="Notedebasdepage"/>
        <w:ind w:hanging="482"/>
        <w:rPr>
          <w:lang w:val="en-US"/>
        </w:rPr>
      </w:pPr>
      <w:proofErr w:type="gramStart"/>
      <w:r w:rsidRPr="005771E8">
        <w:t>Giraudet, L.-G., Finon, D., 2015.</w:t>
      </w:r>
      <w:proofErr w:type="gramEnd"/>
      <w:r w:rsidRPr="005771E8">
        <w:t xml:space="preserve"> European experiences with white certifirecate obligations: A critical review of existing evaluations. </w:t>
      </w:r>
      <w:proofErr w:type="gramStart"/>
      <w:r w:rsidRPr="005E0E66">
        <w:rPr>
          <w:lang w:val="en-US"/>
        </w:rPr>
        <w:t>Economics of Energy &amp; Environmental Policy 4.</w:t>
      </w:r>
      <w:proofErr w:type="gramEnd"/>
      <w:r w:rsidRPr="005E0E66">
        <w:rPr>
          <w:lang w:val="en-US"/>
        </w:rPr>
        <w:t xml:space="preserve"> </w:t>
      </w:r>
      <w:hyperlink r:id="rId30" w:history="1">
        <w:proofErr w:type="gramStart"/>
        <w:r w:rsidRPr="005E0E66">
          <w:rPr>
            <w:rStyle w:val="Lienhypertexte"/>
            <w:rFonts w:eastAsiaTheme="majorEastAsia"/>
            <w:lang w:val="en-US"/>
          </w:rPr>
          <w:t>DOI :</w:t>
        </w:r>
        <w:proofErr w:type="gramEnd"/>
        <w:r w:rsidRPr="005E0E66">
          <w:rPr>
            <w:rStyle w:val="Lienhypertexte"/>
            <w:rFonts w:eastAsiaTheme="majorEastAsia"/>
            <w:lang w:val="en-US"/>
          </w:rPr>
          <w:t xml:space="preserve"> 10.5547/2160-5890.4.1.lgir</w:t>
        </w:r>
      </w:hyperlink>
    </w:p>
    <w:p w14:paraId="10DB2A73" w14:textId="77777777" w:rsidR="00B0157C" w:rsidRPr="00D15347" w:rsidRDefault="00B0157C" w:rsidP="00B0157C">
      <w:pPr>
        <w:pStyle w:val="Notedebasdepage"/>
        <w:ind w:hanging="482"/>
      </w:pPr>
      <w:r w:rsidRPr="005771E8">
        <w:t xml:space="preserve">Gillingham, K., Newell, R.G., Palmer, K., 2009. </w:t>
      </w:r>
      <w:proofErr w:type="gramStart"/>
      <w:r w:rsidRPr="005771E8">
        <w:t>Energy Efficiency Economics and Policy.</w:t>
      </w:r>
      <w:proofErr w:type="gramEnd"/>
      <w:r w:rsidRPr="005771E8">
        <w:t xml:space="preserve"> </w:t>
      </w:r>
      <w:r w:rsidRPr="005771E8">
        <w:rPr>
          <w:i/>
        </w:rPr>
        <w:t>Annual Review of Resource Economics</w:t>
      </w:r>
      <w:r w:rsidRPr="00D15347">
        <w:t xml:space="preserve"> 1, 597–620. DOI: 10.1146/annurev.resource.102308.124234</w:t>
      </w:r>
    </w:p>
    <w:p w14:paraId="45DCC3EA" w14:textId="5874D4D2" w:rsidR="00B0157C" w:rsidRPr="00D15347" w:rsidRDefault="00B0157C" w:rsidP="00B0157C">
      <w:pPr>
        <w:pStyle w:val="Notedebasdepage"/>
        <w:ind w:hanging="482"/>
      </w:pPr>
      <w:r w:rsidRPr="005771E8">
        <w:t xml:space="preserve">Giraudet, L.-G., C. Guivarch, P. Quirion, 2011, "Comparing and combining energy saving </w:t>
      </w:r>
      <w:proofErr w:type="gramStart"/>
      <w:r w:rsidRPr="005771E8">
        <w:t>policies :</w:t>
      </w:r>
      <w:proofErr w:type="gramEnd"/>
      <w:r w:rsidRPr="005771E8">
        <w:t xml:space="preserve"> will proposed residential sector policies meet French official targets ?", </w:t>
      </w:r>
      <w:r w:rsidRPr="00D15347">
        <w:rPr>
          <w:i/>
        </w:rPr>
        <w:t>The Energy Journal</w:t>
      </w:r>
      <w:r w:rsidRPr="00D15347">
        <w:t>, 32(SI1):213-242. DOI: 10.5547/ISSN0195-6574-EJ-Vol32-SI1-12</w:t>
      </w:r>
    </w:p>
    <w:p w14:paraId="4154CE5C" w14:textId="77777777" w:rsidR="00B0157C" w:rsidRPr="005E0E66" w:rsidRDefault="00B0157C" w:rsidP="00B0157C">
      <w:pPr>
        <w:pStyle w:val="Notedebasdepage"/>
        <w:ind w:hanging="482"/>
        <w:rPr>
          <w:lang w:val="en-US"/>
        </w:rPr>
      </w:pPr>
      <w:proofErr w:type="gramStart"/>
      <w:r w:rsidRPr="004500BB">
        <w:t>Giraudet, L.-G., C. Guivarch, P. Quirion, 2012.</w:t>
      </w:r>
      <w:proofErr w:type="gramEnd"/>
      <w:r w:rsidRPr="004500BB">
        <w:t xml:space="preserve"> Exploring the potential for energy conservation in French households through hybrid modelling, </w:t>
      </w:r>
      <w:r w:rsidRPr="00395747">
        <w:rPr>
          <w:i/>
        </w:rPr>
        <w:t>Energy Economics</w:t>
      </w:r>
      <w:r w:rsidRPr="006663CD">
        <w:t xml:space="preserve">, 34(2):426-445. </w:t>
      </w:r>
      <w:r w:rsidRPr="005E0E66">
        <w:rPr>
          <w:lang w:val="en-US"/>
        </w:rPr>
        <w:t>DOI: 10.1016/j.eneco.2011.07.010</w:t>
      </w:r>
    </w:p>
    <w:p w14:paraId="550139B8" w14:textId="77777777" w:rsidR="000B604F" w:rsidRPr="005E0E66" w:rsidRDefault="000B604F" w:rsidP="000B604F">
      <w:pPr>
        <w:pStyle w:val="Notedebasdepage"/>
        <w:ind w:hanging="482"/>
        <w:rPr>
          <w:lang w:val="fr-FR"/>
        </w:rPr>
      </w:pPr>
      <w:proofErr w:type="gramStart"/>
      <w:r w:rsidRPr="000B604F">
        <w:t>Giraudet, L.-G., Quirion, P., 2008.</w:t>
      </w:r>
      <w:proofErr w:type="gramEnd"/>
      <w:r w:rsidRPr="000B604F">
        <w:t xml:space="preserve"> Efficiency and distributional impacts of tradable white certificates compared to taxes, subsidies and regulations. </w:t>
      </w:r>
      <w:r w:rsidRPr="005E0E66">
        <w:rPr>
          <w:lang w:val="fr-FR"/>
        </w:rPr>
        <w:t>Revue d’économie politique Vol. 118, 885–914.</w:t>
      </w:r>
    </w:p>
    <w:p w14:paraId="5439BDAE" w14:textId="5377C188" w:rsidR="00097BEB" w:rsidRDefault="00C05F66" w:rsidP="00536D44">
      <w:pPr>
        <w:pStyle w:val="Notedebasdepage"/>
        <w:ind w:hanging="482"/>
        <w:rPr>
          <w:lang w:val="en-US"/>
        </w:rPr>
      </w:pPr>
      <w:r w:rsidRPr="005E0E66">
        <w:rPr>
          <w:lang w:val="fr-FR"/>
        </w:rPr>
        <w:lastRenderedPageBreak/>
        <w:t xml:space="preserve">Giraudet, L.-G., Houde, S., Maher, J., 2018. </w:t>
      </w:r>
      <w:r w:rsidRPr="005E0E66">
        <w:rPr>
          <w:lang w:val="en-US"/>
        </w:rPr>
        <w:t xml:space="preserve">Moral Hazard and the Energy Efficiency Gap: Theory and Evidence. Journal of the Association of Environmental and Resource Economists 5, 755–790. </w:t>
      </w:r>
      <w:hyperlink r:id="rId31" w:history="1">
        <w:r w:rsidR="00097BEB" w:rsidRPr="00920B4D">
          <w:rPr>
            <w:rStyle w:val="Lienhypertexte"/>
            <w:lang w:val="en-US"/>
          </w:rPr>
          <w:t>https://doi.org/10.1086/698446</w:t>
        </w:r>
      </w:hyperlink>
    </w:p>
    <w:p w14:paraId="247EB7E4" w14:textId="76F738AA" w:rsidR="00536D44" w:rsidRPr="005E0E66" w:rsidRDefault="00536D44" w:rsidP="00536D44">
      <w:pPr>
        <w:pStyle w:val="Notedebasdepage"/>
        <w:ind w:hanging="482"/>
        <w:rPr>
          <w:lang w:val="fr-FR"/>
        </w:rPr>
      </w:pPr>
      <w:proofErr w:type="gramStart"/>
      <w:r w:rsidRPr="005E0E66">
        <w:rPr>
          <w:lang w:val="en-US"/>
        </w:rPr>
        <w:t>Glotin,</w:t>
      </w:r>
      <w:r w:rsidR="00FC31ED" w:rsidRPr="005E0E66">
        <w:rPr>
          <w:lang w:val="en-US"/>
        </w:rPr>
        <w:t xml:space="preserve"> </w:t>
      </w:r>
      <w:r w:rsidR="001E6DA7">
        <w:rPr>
          <w:lang w:val="en-US"/>
        </w:rPr>
        <w:t>D.</w:t>
      </w:r>
      <w:r w:rsidRPr="005E0E66">
        <w:rPr>
          <w:lang w:val="en-US"/>
        </w:rPr>
        <w:t>, C. Bourgeois, L.-G.</w:t>
      </w:r>
      <w:proofErr w:type="gramEnd"/>
      <w:r w:rsidRPr="005E0E66">
        <w:rPr>
          <w:lang w:val="en-US"/>
        </w:rPr>
        <w:t xml:space="preserve"> Giraudet, P. Quirion, 2019. </w:t>
      </w:r>
      <w:r>
        <w:t xml:space="preserve">Prediction is difficult, even when it's about the past: a hindcast experiment using Res-IRF, an integrated energy-economy model. </w:t>
      </w:r>
      <w:r w:rsidR="00322778" w:rsidRPr="005E0E66">
        <w:rPr>
          <w:i/>
          <w:lang w:val="fr-FR"/>
        </w:rPr>
        <w:t>Energy Economics</w:t>
      </w:r>
      <w:r w:rsidR="00322778" w:rsidRPr="005E0E66">
        <w:rPr>
          <w:lang w:val="fr-FR"/>
        </w:rPr>
        <w:t xml:space="preserve">, </w:t>
      </w:r>
      <w:r w:rsidR="00B42A18" w:rsidRPr="005E0E66">
        <w:rPr>
          <w:lang w:val="fr-FR"/>
        </w:rPr>
        <w:t xml:space="preserve">DOI: </w:t>
      </w:r>
      <w:r w:rsidR="0042429A" w:rsidRPr="005E0E66">
        <w:rPr>
          <w:lang w:val="fr-FR"/>
        </w:rPr>
        <w:t xml:space="preserve">10.1016/j.eneco.2019.07.012 </w:t>
      </w:r>
    </w:p>
    <w:p w14:paraId="6CE9DEB3" w14:textId="2C615F26" w:rsidR="00B0157C" w:rsidRPr="005E0E66" w:rsidRDefault="00B0157C" w:rsidP="00536D44">
      <w:pPr>
        <w:pStyle w:val="Notedebasdepage"/>
        <w:ind w:hanging="482"/>
        <w:rPr>
          <w:b/>
          <w:lang w:val="en-US"/>
        </w:rPr>
      </w:pPr>
      <w:r w:rsidRPr="00536D44">
        <w:rPr>
          <w:lang w:val="fr-FR"/>
        </w:rPr>
        <w:t xml:space="preserve">Gobillon, L., Blanc, D.L., 2005. </w:t>
      </w:r>
      <w:r w:rsidRPr="00121530">
        <w:rPr>
          <w:lang w:val="fr-FR"/>
        </w:rPr>
        <w:t xml:space="preserve">Quelques effets économiques du prêt à taux zéro. </w:t>
      </w:r>
      <w:r w:rsidRPr="005E0E66">
        <w:rPr>
          <w:lang w:val="en-US"/>
        </w:rPr>
        <w:t xml:space="preserve">Economie </w:t>
      </w:r>
      <w:proofErr w:type="gramStart"/>
      <w:r w:rsidRPr="005E0E66">
        <w:rPr>
          <w:lang w:val="en-US"/>
        </w:rPr>
        <w:t>et</w:t>
      </w:r>
      <w:proofErr w:type="gramEnd"/>
      <w:r w:rsidRPr="005E0E66">
        <w:rPr>
          <w:lang w:val="en-US"/>
        </w:rPr>
        <w:t xml:space="preserve"> statistique 381, 63–89. </w:t>
      </w:r>
      <w:proofErr w:type="gramStart"/>
      <w:r w:rsidRPr="005E0E66">
        <w:rPr>
          <w:lang w:val="en-US"/>
        </w:rPr>
        <w:t>DOI :</w:t>
      </w:r>
      <w:proofErr w:type="gramEnd"/>
      <w:r w:rsidRPr="005E0E66">
        <w:rPr>
          <w:lang w:val="en-US"/>
        </w:rPr>
        <w:t xml:space="preserve"> 10.3406/estat.2005.7209</w:t>
      </w:r>
    </w:p>
    <w:p w14:paraId="5BD78512" w14:textId="57C0E9D0" w:rsidR="00F4703B" w:rsidRDefault="00F4703B" w:rsidP="00B0157C">
      <w:pPr>
        <w:pStyle w:val="Notedebasdepage"/>
        <w:ind w:hanging="482"/>
        <w:rPr>
          <w:lang w:val="fr-FR"/>
        </w:rPr>
      </w:pPr>
      <w:r w:rsidRPr="005E0E66">
        <w:rPr>
          <w:lang w:val="en-US"/>
        </w:rPr>
        <w:t xml:space="preserve">Hirst, E., Goeltz, R., 1985. Estimating energy savings due to conservation programmes: The BPA residential weatherization pilot programme. </w:t>
      </w:r>
      <w:r w:rsidRPr="00F4703B">
        <w:rPr>
          <w:lang w:val="fr-FR"/>
        </w:rPr>
        <w:t xml:space="preserve">Energy Economics 7, 20–28. </w:t>
      </w:r>
      <w:hyperlink r:id="rId32" w:history="1">
        <w:r w:rsidRPr="007827AD">
          <w:rPr>
            <w:rStyle w:val="Lienhypertexte"/>
            <w:lang w:val="fr-FR"/>
          </w:rPr>
          <w:t>https://doi.org/10.1016/0140-9883(85)90035-0</w:t>
        </w:r>
      </w:hyperlink>
    </w:p>
    <w:p w14:paraId="2C62835B" w14:textId="7618E94A" w:rsidR="00B0157C" w:rsidRPr="00736FA0" w:rsidRDefault="00B0157C" w:rsidP="00B0157C">
      <w:pPr>
        <w:pStyle w:val="Notedebasdepage"/>
        <w:ind w:hanging="482"/>
        <w:rPr>
          <w:lang w:val="fr-FR"/>
        </w:rPr>
      </w:pPr>
      <w:r w:rsidRPr="00736FA0">
        <w:rPr>
          <w:lang w:val="fr-FR"/>
        </w:rPr>
        <w:t>IGF et CGEDD, 2017. Revue des dépenses – Aides à la rénovation énergétique des logements privés. http://www.igf.finances.gouv.fr/files/live/sites/igf/files/contributed/IGF%20internet/2.RapportsPublics/2017/2016-M-114.pdf</w:t>
      </w:r>
    </w:p>
    <w:p w14:paraId="5A55F866" w14:textId="77777777" w:rsidR="00B0157C" w:rsidRPr="00736FA0" w:rsidRDefault="00B0157C" w:rsidP="00B0157C">
      <w:pPr>
        <w:pStyle w:val="Notedebasdepage"/>
        <w:ind w:hanging="482"/>
        <w:rPr>
          <w:lang w:val="fr-FR"/>
        </w:rPr>
      </w:pPr>
      <w:r w:rsidRPr="00736FA0">
        <w:rPr>
          <w:lang w:val="fr-FR"/>
        </w:rPr>
        <w:t>Insee, 2006. Projections de population pour la France métropolitaine à l’horizon 2050 : la population continue de croître et le vieillissement se poursuit. Insee Première n°1089. https://www.insee.fr/fr/statistiques/1280826</w:t>
      </w:r>
    </w:p>
    <w:p w14:paraId="4D9254AD" w14:textId="77777777" w:rsidR="00B0157C" w:rsidRPr="00D15347" w:rsidRDefault="00B0157C" w:rsidP="00B0157C">
      <w:pPr>
        <w:pStyle w:val="Notedebasdepage"/>
        <w:ind w:hanging="482"/>
      </w:pPr>
      <w:r w:rsidRPr="00782591">
        <w:rPr>
          <w:lang w:val="fr-FR"/>
        </w:rPr>
        <w:t xml:space="preserve">Jaffe, A.B., Stavins, R.N., 1994. </w:t>
      </w:r>
      <w:r w:rsidRPr="005771E8">
        <w:t xml:space="preserve">The energy-efficiency gap: What does it mean? </w:t>
      </w:r>
      <w:r w:rsidRPr="005771E8">
        <w:rPr>
          <w:i/>
        </w:rPr>
        <w:t>Energy Policy</w:t>
      </w:r>
      <w:r w:rsidRPr="005771E8">
        <w:t xml:space="preserve"> 22, 804–810. DOI: 10.1016/0301-4215(94)90138-4</w:t>
      </w:r>
    </w:p>
    <w:p w14:paraId="01C7570E" w14:textId="77777777" w:rsidR="00B0157C" w:rsidRPr="00D15347" w:rsidRDefault="00B0157C" w:rsidP="00B0157C">
      <w:pPr>
        <w:pStyle w:val="Notedebasdepage"/>
        <w:ind w:hanging="482"/>
      </w:pPr>
      <w:proofErr w:type="gramStart"/>
      <w:r w:rsidRPr="00E90DED">
        <w:rPr>
          <w:lang w:val="en-US"/>
        </w:rPr>
        <w:t>Labandeira, X., Labeaga, J.M., López-Oter</w:t>
      </w:r>
      <w:r w:rsidRPr="00232B74">
        <w:rPr>
          <w:lang w:val="en-US"/>
        </w:rPr>
        <w:t>o, X., 2017.</w:t>
      </w:r>
      <w:proofErr w:type="gramEnd"/>
      <w:r w:rsidRPr="00232B74">
        <w:rPr>
          <w:lang w:val="en-US"/>
        </w:rPr>
        <w:t xml:space="preserve"> </w:t>
      </w:r>
      <w:proofErr w:type="gramStart"/>
      <w:r w:rsidRPr="005771E8">
        <w:t>A meta-analysis on the price elasticity of energy demand.</w:t>
      </w:r>
      <w:proofErr w:type="gramEnd"/>
      <w:r w:rsidRPr="005771E8">
        <w:t xml:space="preserve"> Energy Policy 102, 549–568. 10.1016/j.enpol.2017.01.002</w:t>
      </w:r>
    </w:p>
    <w:p w14:paraId="109971FF" w14:textId="7B6C2061" w:rsidR="00205B9A" w:rsidRDefault="00B0157C" w:rsidP="005E0E66">
      <w:pPr>
        <w:pStyle w:val="Notedebasdepage"/>
        <w:ind w:hanging="426"/>
        <w:rPr>
          <w:lang w:val="fr-FR"/>
        </w:rPr>
      </w:pPr>
      <w:r w:rsidRPr="00122C26">
        <w:rPr>
          <w:lang w:val="en-US"/>
        </w:rPr>
        <w:t xml:space="preserve">Lentile, D., J. Mairesse, J., 2009. </w:t>
      </w:r>
      <w:r w:rsidRPr="00D15347">
        <w:t>A policy to boost R&amp;D: Does the R&amp;D tax</w:t>
      </w:r>
      <w:r w:rsidRPr="004500BB">
        <w:t xml:space="preserve"> credit work? </w:t>
      </w:r>
      <w:r w:rsidRPr="005E0E66">
        <w:rPr>
          <w:lang w:val="fr-FR"/>
        </w:rPr>
        <w:t>EIB Papers, 14(1):144</w:t>
      </w:r>
      <w:r w:rsidRPr="005E0E66">
        <w:rPr>
          <w:rFonts w:ascii="MS Gothic" w:eastAsia="MS Gothic" w:hAnsi="MS Gothic" w:cs="MS Gothic"/>
          <w:lang w:val="fr-FR"/>
        </w:rPr>
        <w:t>‑</w:t>
      </w:r>
      <w:r w:rsidRPr="005E0E66">
        <w:rPr>
          <w:lang w:val="fr-FR"/>
        </w:rPr>
        <w:t>169. https://www.econstor.eu/handle/10419/44906</w:t>
      </w:r>
      <w:r w:rsidR="00205B9A" w:rsidRPr="00205B9A">
        <w:rPr>
          <w:lang w:val="fr-FR"/>
        </w:rPr>
        <w:t>Leray, T., B. de la Roncière, 2002, 30 ans de maîtrise de l’énergie, Association technique énergie environnement, Arcueil</w:t>
      </w:r>
    </w:p>
    <w:p w14:paraId="2B162680" w14:textId="77777777" w:rsidR="00205B9A" w:rsidRDefault="008777FC" w:rsidP="005E0E66">
      <w:pPr>
        <w:pStyle w:val="Notedebasdepage"/>
        <w:ind w:hanging="426"/>
        <w:rPr>
          <w:lang w:val="fr-FR"/>
        </w:rPr>
      </w:pPr>
      <w:r w:rsidRPr="005E0E66">
        <w:rPr>
          <w:lang w:val="fr-FR"/>
        </w:rPr>
        <w:t>Martin, Y., Y. Carsalade, J.-P. Leteurtrois, F. Moisan, 1998, La maîtrise de l’énergie : rapport d’évaluation, Paris: La Documentation française</w:t>
      </w:r>
    </w:p>
    <w:p w14:paraId="1A246107" w14:textId="0BCFD8BE" w:rsidR="00B0157C" w:rsidRPr="005E0E66" w:rsidRDefault="00B0157C" w:rsidP="005E0E66">
      <w:pPr>
        <w:pStyle w:val="Notedebasdepage"/>
        <w:ind w:hanging="426"/>
      </w:pPr>
      <w:proofErr w:type="gramStart"/>
      <w:r w:rsidRPr="005E0E66">
        <w:rPr>
          <w:lang w:val="en-US"/>
        </w:rPr>
        <w:t>Mathy, S., Fink, M., Bibas, R., 2015.</w:t>
      </w:r>
      <w:proofErr w:type="gramEnd"/>
      <w:r w:rsidRPr="005E0E66">
        <w:rPr>
          <w:lang w:val="en-US"/>
        </w:rPr>
        <w:t xml:space="preserve"> </w:t>
      </w:r>
      <w:proofErr w:type="gramStart"/>
      <w:r w:rsidRPr="00980911">
        <w:t>Rethinking the role of scenarios: Participatory scripting of low-carbon scenarios for France.</w:t>
      </w:r>
      <w:proofErr w:type="gramEnd"/>
      <w:r w:rsidRPr="00980911">
        <w:t xml:space="preserve"> </w:t>
      </w:r>
      <w:r w:rsidRPr="000E365C">
        <w:rPr>
          <w:lang w:val="en-US"/>
        </w:rPr>
        <w:t xml:space="preserve">Energy Policy 77, 176–190. </w:t>
      </w:r>
      <w:proofErr w:type="gramStart"/>
      <w:r w:rsidRPr="000E365C">
        <w:rPr>
          <w:lang w:val="en-US"/>
        </w:rPr>
        <w:t>DOI :</w:t>
      </w:r>
      <w:proofErr w:type="gramEnd"/>
      <w:r w:rsidRPr="000E365C">
        <w:rPr>
          <w:lang w:val="en-US"/>
        </w:rPr>
        <w:t xml:space="preserve"> 10.1016/j.enpol.2014.11.002</w:t>
      </w:r>
    </w:p>
    <w:p w14:paraId="2D4224F9" w14:textId="57069B6F" w:rsidR="00BC5629" w:rsidRDefault="00BC5629" w:rsidP="00EA41BE">
      <w:pPr>
        <w:pStyle w:val="Notedebasdepage"/>
        <w:ind w:hanging="482"/>
      </w:pPr>
      <w:r w:rsidRPr="00BC5629">
        <w:t xml:space="preserve">McCollum, D.L., Wilson, C., Pettifor, H., Ramea, K., Krey, V., Riahi, K., Bertram, C., Lin, Z., Edelenbosch, O.Y., Fujisawa, S., 2017. </w:t>
      </w:r>
      <w:proofErr w:type="gramStart"/>
      <w:r w:rsidRPr="00BC5629">
        <w:t>Improving the behavioral realism of global integrated assessment models: An application to consumers’ vehicle choices.</w:t>
      </w:r>
      <w:proofErr w:type="gramEnd"/>
      <w:r w:rsidRPr="00BC5629">
        <w:t xml:space="preserve"> Transportation Research Part D: Transport and Environment 55, 322–342. </w:t>
      </w:r>
      <w:hyperlink r:id="rId33" w:history="1">
        <w:r w:rsidRPr="007827AD">
          <w:rPr>
            <w:rStyle w:val="Lienhypertexte"/>
          </w:rPr>
          <w:t>https://doi.org/10.1016/j.trd.2016.04.003</w:t>
        </w:r>
      </w:hyperlink>
    </w:p>
    <w:p w14:paraId="66679E25" w14:textId="6F141669" w:rsidR="00841D62" w:rsidRDefault="00841D62" w:rsidP="00EA41BE">
      <w:pPr>
        <w:pStyle w:val="Notedebasdepage"/>
        <w:ind w:hanging="482"/>
      </w:pPr>
      <w:r w:rsidRPr="00841D62">
        <w:t xml:space="preserve">Metcalf, G.E., Hassett, K.A., 1999. </w:t>
      </w:r>
      <w:proofErr w:type="gramStart"/>
      <w:r w:rsidRPr="00841D62">
        <w:t>Measuring the Energy Savings from Home Improvement Investments: Evidence from Monthly Billing Data.</w:t>
      </w:r>
      <w:proofErr w:type="gramEnd"/>
      <w:r w:rsidRPr="00841D62">
        <w:t xml:space="preserve"> Review of Economics and Statistics 81, 516–528. </w:t>
      </w:r>
      <w:hyperlink r:id="rId34" w:history="1">
        <w:r w:rsidRPr="007827AD">
          <w:rPr>
            <w:rStyle w:val="Lienhypertexte"/>
          </w:rPr>
          <w:t>https://doi.org/10.1162/003465399558274</w:t>
        </w:r>
      </w:hyperlink>
    </w:p>
    <w:p w14:paraId="05A17D87" w14:textId="302AD4B9" w:rsidR="0011268C" w:rsidRDefault="0011268C" w:rsidP="00EA41BE">
      <w:pPr>
        <w:pStyle w:val="Notedebasdepage"/>
        <w:ind w:hanging="482"/>
      </w:pPr>
      <w:proofErr w:type="gramStart"/>
      <w:r w:rsidRPr="0011268C">
        <w:t>Mundaca, L., Neij, L., Worrell, E., McNeil, M., 2010.</w:t>
      </w:r>
      <w:proofErr w:type="gramEnd"/>
      <w:r w:rsidRPr="0011268C">
        <w:t xml:space="preserve"> </w:t>
      </w:r>
      <w:proofErr w:type="gramStart"/>
      <w:r w:rsidRPr="0011268C">
        <w:t>Evaluating Energy Efficiency Policies with Energy-Economy Models.</w:t>
      </w:r>
      <w:proofErr w:type="gramEnd"/>
      <w:r w:rsidRPr="0011268C">
        <w:t xml:space="preserve"> Annual Review of Environment and Resources 35, 305–344. </w:t>
      </w:r>
      <w:hyperlink r:id="rId35" w:history="1">
        <w:r w:rsidRPr="007827AD">
          <w:rPr>
            <w:rStyle w:val="Lienhypertexte"/>
          </w:rPr>
          <w:t>https://doi.org/10.1146/annurev-environ-052810-164840</w:t>
        </w:r>
      </w:hyperlink>
    </w:p>
    <w:p w14:paraId="4EDAA922" w14:textId="1F5968AE" w:rsidR="00EA41BE" w:rsidRPr="001D0A76" w:rsidRDefault="00EA41BE" w:rsidP="00EA41BE">
      <w:pPr>
        <w:pStyle w:val="Notedebasdepage"/>
        <w:ind w:hanging="482"/>
        <w:rPr>
          <w:lang w:val="fr-FR"/>
        </w:rPr>
      </w:pPr>
      <w:proofErr w:type="gramStart"/>
      <w:r w:rsidRPr="00EA41BE">
        <w:t>Nauleau, M.-L., 2014.</w:t>
      </w:r>
      <w:proofErr w:type="gramEnd"/>
      <w:r w:rsidRPr="00EA41BE">
        <w:t xml:space="preserve"> Free-riding on tax credits for home insulation in France: An econometric assessment using panel data. </w:t>
      </w:r>
      <w:r w:rsidRPr="001D0A76">
        <w:rPr>
          <w:lang w:val="fr-FR"/>
        </w:rPr>
        <w:t>Energy Economics 46, 78–92. https://doi.org/10.1016/j.eneco.2014.08.011</w:t>
      </w:r>
    </w:p>
    <w:p w14:paraId="00AAF980" w14:textId="359755D8" w:rsidR="00B0157C" w:rsidRPr="005771E8" w:rsidRDefault="00B0157C" w:rsidP="00B0157C">
      <w:pPr>
        <w:pStyle w:val="Notedebasdepage"/>
        <w:ind w:hanging="482"/>
      </w:pPr>
      <w:r w:rsidRPr="009B7BEA">
        <w:rPr>
          <w:lang w:val="fr-FR"/>
        </w:rPr>
        <w:t xml:space="preserve">ONPE, 2016. Les chiffres-clés de la précarité énergétique. </w:t>
      </w:r>
      <w:proofErr w:type="gramStart"/>
      <w:r w:rsidRPr="005771E8">
        <w:t>Edition n°2.</w:t>
      </w:r>
      <w:proofErr w:type="gramEnd"/>
      <w:r w:rsidRPr="005771E8">
        <w:t xml:space="preserve"> http://www.onpe.org/sites/default/files/pdf/tableau_de_bord/chiffres-cles-precarite-energetique-novembre2016.pdf</w:t>
      </w:r>
    </w:p>
    <w:p w14:paraId="3A326091" w14:textId="4BFE2D1C" w:rsidR="00B0157C" w:rsidRPr="005771E8" w:rsidRDefault="00B0157C" w:rsidP="00B0157C">
      <w:pPr>
        <w:pStyle w:val="Notedebasdepage"/>
        <w:ind w:hanging="482"/>
      </w:pPr>
    </w:p>
    <w:p w14:paraId="32AB2CCE" w14:textId="77777777" w:rsidR="00F36D23" w:rsidRPr="005E0E66" w:rsidRDefault="00F36D23" w:rsidP="00B0157C">
      <w:pPr>
        <w:pStyle w:val="Notedebasdepage"/>
        <w:ind w:hanging="482"/>
        <w:rPr>
          <w:lang w:val="fr-FR"/>
        </w:rPr>
      </w:pPr>
      <w:proofErr w:type="gramStart"/>
      <w:r w:rsidRPr="00F36D23">
        <w:t>Sorrell, S., 2004.</w:t>
      </w:r>
      <w:proofErr w:type="gramEnd"/>
      <w:r w:rsidRPr="00F36D23">
        <w:t xml:space="preserve"> Understanding barriers to energy efficiency, in: Sorrell, S., O’Malley, E., Schleich, J., Scott, S. (Eds.), The Economics of Energy Efficiency: Barriers to Cost-Effective Investment. </w:t>
      </w:r>
      <w:r w:rsidRPr="005E0E66">
        <w:rPr>
          <w:lang w:val="fr-FR"/>
        </w:rPr>
        <w:t>Edward Elgar, Cheltenham, pp. 25–93.</w:t>
      </w:r>
    </w:p>
    <w:p w14:paraId="1053FE76" w14:textId="569C8E01" w:rsidR="00687DEF" w:rsidRDefault="00687DEF" w:rsidP="00B0157C">
      <w:pPr>
        <w:pStyle w:val="Notedebasdepage"/>
        <w:ind w:hanging="482"/>
      </w:pPr>
      <w:r w:rsidRPr="005E0E66">
        <w:rPr>
          <w:lang w:val="fr-FR"/>
        </w:rPr>
        <w:t xml:space="preserve">Sorrell, S., Dimitropoulos, J., Sommerville, M., 2009. </w:t>
      </w:r>
      <w:r w:rsidRPr="00687DEF">
        <w:t>Empirical estimates of the direct rebound effect: A review. Energy Policy 37, 1356–1371. https://doi.org/10.1016/j.enpol.2008.11.026</w:t>
      </w:r>
    </w:p>
    <w:p w14:paraId="5D0A24A6" w14:textId="6BE29A99" w:rsidR="00B0157C" w:rsidRPr="009B7BEA" w:rsidRDefault="00B0157C" w:rsidP="00B0157C">
      <w:pPr>
        <w:pStyle w:val="Notedebasdepage"/>
        <w:ind w:hanging="482"/>
        <w:rPr>
          <w:lang w:val="fr-FR"/>
        </w:rPr>
      </w:pPr>
      <w:proofErr w:type="gramStart"/>
      <w:r w:rsidRPr="005771E8">
        <w:t>Sunikka-Blank, M., Galvin, R., 2012.</w:t>
      </w:r>
      <w:proofErr w:type="gramEnd"/>
      <w:r w:rsidRPr="005771E8">
        <w:t xml:space="preserve"> </w:t>
      </w:r>
      <w:proofErr w:type="gramStart"/>
      <w:r w:rsidRPr="005771E8">
        <w:t>Introducing the prebound effect: the gap between performance and actual energy consumption.</w:t>
      </w:r>
      <w:proofErr w:type="gramEnd"/>
      <w:r w:rsidRPr="005771E8">
        <w:t xml:space="preserve"> </w:t>
      </w:r>
      <w:r w:rsidRPr="00121530">
        <w:rPr>
          <w:i/>
          <w:lang w:val="fr-FR"/>
        </w:rPr>
        <w:t>Building Research &amp; Information</w:t>
      </w:r>
      <w:r w:rsidRPr="009B7BEA">
        <w:rPr>
          <w:lang w:val="fr-FR"/>
        </w:rPr>
        <w:t xml:space="preserve"> 40, 260–273. 10.1080/09613218.2012.690952</w:t>
      </w:r>
    </w:p>
    <w:p w14:paraId="797F757F" w14:textId="0A0CD1C8" w:rsidR="00756CCB" w:rsidRPr="00736FA0" w:rsidRDefault="00756CCB" w:rsidP="00471D0E">
      <w:pPr>
        <w:pStyle w:val="Notedebasdepage"/>
        <w:ind w:hanging="482"/>
        <w:rPr>
          <w:lang w:val="fr-FR"/>
        </w:rPr>
      </w:pPr>
    </w:p>
    <w:sectPr w:rsidR="00756CCB" w:rsidRPr="00736FA0">
      <w:footerReference w:type="default" r:id="rId36"/>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EAEAF5" w15:done="0"/>
  <w15:commentEx w15:paraId="62448C66" w15:done="0"/>
  <w15:commentEx w15:paraId="7ACB0542" w15:done="0"/>
  <w15:commentEx w15:paraId="5995BDDF" w15:done="0"/>
  <w15:commentEx w15:paraId="60A1E874" w15:done="0"/>
  <w15:commentEx w15:paraId="3E5F9F2E" w15:done="0"/>
  <w15:commentEx w15:paraId="756A76E8" w15:done="0"/>
  <w15:commentEx w15:paraId="1060A243" w15:done="0"/>
  <w15:commentEx w15:paraId="663DA11B" w15:done="0"/>
  <w15:commentEx w15:paraId="655A6E8F" w15:done="0"/>
  <w15:commentEx w15:paraId="5950576A" w15:done="0"/>
  <w15:commentEx w15:paraId="7A3653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01F3F" w14:textId="77777777" w:rsidR="007A6D63" w:rsidRDefault="007A6D63" w:rsidP="00982586">
      <w:pPr>
        <w:spacing w:after="0" w:line="240" w:lineRule="auto"/>
      </w:pPr>
      <w:r>
        <w:separator/>
      </w:r>
    </w:p>
  </w:endnote>
  <w:endnote w:type="continuationSeparator" w:id="0">
    <w:p w14:paraId="6D40B060" w14:textId="77777777" w:rsidR="007A6D63" w:rsidRDefault="007A6D63" w:rsidP="0098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20291"/>
      <w:docPartObj>
        <w:docPartGallery w:val="Page Numbers (Bottom of Page)"/>
        <w:docPartUnique/>
      </w:docPartObj>
    </w:sdtPr>
    <w:sdtEndPr/>
    <w:sdtContent>
      <w:p w14:paraId="502AFBA1" w14:textId="4C5EF3B5" w:rsidR="00181A12" w:rsidRDefault="00181A12">
        <w:pPr>
          <w:pStyle w:val="Pieddepage"/>
          <w:jc w:val="right"/>
        </w:pPr>
        <w:r>
          <w:fldChar w:fldCharType="begin"/>
        </w:r>
        <w:r>
          <w:instrText>PAGE   \* MERGEFORMAT</w:instrText>
        </w:r>
        <w:r>
          <w:fldChar w:fldCharType="separate"/>
        </w:r>
        <w:r w:rsidR="00122C26" w:rsidRPr="00122C26">
          <w:rPr>
            <w:noProof/>
            <w:lang w:val="fr-FR"/>
          </w:rPr>
          <w:t>26</w:t>
        </w:r>
        <w:r>
          <w:fldChar w:fldCharType="end"/>
        </w:r>
      </w:p>
    </w:sdtContent>
  </w:sdt>
  <w:p w14:paraId="1C043D30" w14:textId="77777777" w:rsidR="00181A12" w:rsidRDefault="00181A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BB270" w14:textId="77777777" w:rsidR="007A6D63" w:rsidRDefault="007A6D63" w:rsidP="00982586">
      <w:pPr>
        <w:spacing w:after="0" w:line="240" w:lineRule="auto"/>
      </w:pPr>
      <w:r>
        <w:separator/>
      </w:r>
    </w:p>
  </w:footnote>
  <w:footnote w:type="continuationSeparator" w:id="0">
    <w:p w14:paraId="50E4DD7B" w14:textId="77777777" w:rsidR="007A6D63" w:rsidRDefault="007A6D63" w:rsidP="00982586">
      <w:pPr>
        <w:spacing w:after="0" w:line="240" w:lineRule="auto"/>
      </w:pPr>
      <w:r>
        <w:continuationSeparator/>
      </w:r>
    </w:p>
  </w:footnote>
  <w:footnote w:id="1">
    <w:p w14:paraId="1E0B0552" w14:textId="77777777" w:rsidR="00181A12" w:rsidRPr="00687CAF" w:rsidRDefault="00181A12" w:rsidP="0009308D">
      <w:pPr>
        <w:pStyle w:val="Notedebasdepage"/>
        <w:rPr>
          <w:lang w:val="fr-FR"/>
        </w:rPr>
      </w:pPr>
      <w:r>
        <w:rPr>
          <w:rStyle w:val="Appelnotedebasdep"/>
        </w:rPr>
        <w:footnoteRef/>
      </w:r>
      <w:r w:rsidRPr="00687CAF">
        <w:rPr>
          <w:lang w:val="fr-FR"/>
        </w:rPr>
        <w:t xml:space="preserve"> </w:t>
      </w:r>
      <w:r w:rsidRPr="009D09FC">
        <w:rPr>
          <w:lang w:val="fr-FR"/>
        </w:rPr>
        <w:t>http://www.statistiques.developpement-durable.gouv.fr/sources-methodes/enquete-nomenclature/1541/0/enquete-performance-lhabitat-equipements-besoins-usages.html</w:t>
      </w:r>
    </w:p>
  </w:footnote>
  <w:footnote w:id="2">
    <w:p w14:paraId="74E6A392" w14:textId="78453D3C" w:rsidR="006651A6" w:rsidRPr="005E0E66" w:rsidRDefault="006651A6">
      <w:pPr>
        <w:pStyle w:val="Notedebasdepage"/>
        <w:rPr>
          <w:lang w:val="fr-FR"/>
        </w:rPr>
      </w:pPr>
      <w:r>
        <w:rPr>
          <w:rStyle w:val="Appelnotedebasdep"/>
        </w:rPr>
        <w:footnoteRef/>
      </w:r>
      <w:r w:rsidRPr="005E0E66">
        <w:rPr>
          <w:lang w:val="fr-FR"/>
        </w:rPr>
        <w:t xml:space="preserve"> </w:t>
      </w:r>
      <w:r w:rsidR="00D26D25">
        <w:rPr>
          <w:lang w:val="fr-FR"/>
        </w:rPr>
        <w:t>En considérant</w:t>
      </w:r>
      <w:r>
        <w:rPr>
          <w:lang w:val="fr-FR"/>
        </w:rPr>
        <w:t xml:space="preserve"> les bornes </w:t>
      </w:r>
      <w:r w:rsidR="00D26D25">
        <w:rPr>
          <w:lang w:val="fr-FR"/>
        </w:rPr>
        <w:t>de</w:t>
      </w:r>
      <w:r>
        <w:rPr>
          <w:lang w:val="fr-FR"/>
        </w:rPr>
        <w:t xml:space="preserve"> revenu définies par l’INSEE</w:t>
      </w:r>
      <w:r w:rsidR="00D26D25">
        <w:rPr>
          <w:lang w:val="fr-FR"/>
        </w:rPr>
        <w:t xml:space="preserve">, la catégorie C1 couvre 17% des ménages dans le modèle, la catégorie C2 </w:t>
      </w:r>
      <w:r w:rsidR="00024848">
        <w:rPr>
          <w:lang w:val="fr-FR"/>
        </w:rPr>
        <w:t xml:space="preserve">couvre </w:t>
      </w:r>
      <w:r w:rsidR="00D26D25">
        <w:rPr>
          <w:lang w:val="fr-FR"/>
        </w:rPr>
        <w:t xml:space="preserve">19%, C3 </w:t>
      </w:r>
      <w:r w:rsidR="00024848">
        <w:rPr>
          <w:lang w:val="fr-FR"/>
        </w:rPr>
        <w:t xml:space="preserve">couvre </w:t>
      </w:r>
      <w:r w:rsidR="00D26D25">
        <w:rPr>
          <w:lang w:val="fr-FR"/>
        </w:rPr>
        <w:t xml:space="preserve">23%, C4 </w:t>
      </w:r>
      <w:r w:rsidR="00024848">
        <w:rPr>
          <w:lang w:val="fr-FR"/>
        </w:rPr>
        <w:t>couvre 22%</w:t>
      </w:r>
      <w:r w:rsidR="00D26D25">
        <w:rPr>
          <w:lang w:val="fr-FR"/>
        </w:rPr>
        <w:t xml:space="preserve"> et C5 </w:t>
      </w:r>
      <w:r w:rsidR="00024848">
        <w:rPr>
          <w:lang w:val="fr-FR"/>
        </w:rPr>
        <w:t xml:space="preserve">couvre </w:t>
      </w:r>
      <w:r w:rsidR="00D26D25">
        <w:rPr>
          <w:lang w:val="fr-FR"/>
        </w:rPr>
        <w:t>19%.</w:t>
      </w:r>
    </w:p>
  </w:footnote>
  <w:footnote w:id="3">
    <w:p w14:paraId="0CC6AFFA" w14:textId="5079FD53" w:rsidR="00181A12" w:rsidRPr="00654C1D" w:rsidRDefault="00181A12">
      <w:pPr>
        <w:pStyle w:val="Notedebasdepage"/>
        <w:rPr>
          <w:lang w:val="fr-FR"/>
        </w:rPr>
      </w:pPr>
      <w:r w:rsidRPr="005771E8">
        <w:rPr>
          <w:rStyle w:val="Appelnotedebasdep"/>
        </w:rPr>
        <w:footnoteRef/>
      </w:r>
      <w:r w:rsidRPr="00654C1D">
        <w:rPr>
          <w:lang w:val="fr-FR"/>
        </w:rPr>
        <w:t xml:space="preserve"> Les coûts de construction au niveau </w:t>
      </w:r>
      <w:r>
        <w:rPr>
          <w:lang w:val="fr-FR"/>
        </w:rPr>
        <w:t xml:space="preserve">BBC </w:t>
      </w:r>
      <w:r w:rsidRPr="00654C1D">
        <w:rPr>
          <w:lang w:val="fr-FR"/>
        </w:rPr>
        <w:t xml:space="preserve">sont plus élevés pour les logements chauffés à l'électricité que pour ceux chauffés avec d'autres combustibles, </w:t>
      </w:r>
      <w:r>
        <w:rPr>
          <w:lang w:val="fr-FR"/>
        </w:rPr>
        <w:t>sous l’hypothèse que</w:t>
      </w:r>
      <w:r w:rsidRPr="00654C1D">
        <w:rPr>
          <w:lang w:val="fr-FR"/>
        </w:rPr>
        <w:t xml:space="preserve"> les premiers nécessitent une pompe à chaleur.</w:t>
      </w:r>
    </w:p>
  </w:footnote>
  <w:footnote w:id="4">
    <w:p w14:paraId="5000C5C4" w14:textId="4DE6AE22" w:rsidR="00181A12" w:rsidRPr="00086522" w:rsidRDefault="00181A12" w:rsidP="00991677">
      <w:pPr>
        <w:pStyle w:val="Notedebasdepage"/>
        <w:rPr>
          <w:lang w:val="fr-FR"/>
        </w:rPr>
      </w:pPr>
      <w:r>
        <w:rPr>
          <w:rStyle w:val="Appelnotedebasdep"/>
        </w:rPr>
        <w:footnoteRef/>
      </w:r>
      <w:r w:rsidRPr="00086522">
        <w:rPr>
          <w:lang w:val="fr-FR"/>
        </w:rPr>
        <w:t xml:space="preserve"> </w:t>
      </w:r>
      <w:r w:rsidRPr="00991677">
        <w:rPr>
          <w:lang w:val="fr-FR"/>
        </w:rPr>
        <w:t xml:space="preserve"> </w:t>
      </w:r>
      <w:r>
        <w:rPr>
          <w:lang w:val="fr-FR"/>
        </w:rPr>
        <w:t>L</w:t>
      </w:r>
      <w:r w:rsidRPr="00991677">
        <w:rPr>
          <w:lang w:val="fr-FR"/>
        </w:rPr>
        <w:t xml:space="preserve">oi </w:t>
      </w:r>
      <w:r>
        <w:rPr>
          <w:lang w:val="fr-FR"/>
        </w:rPr>
        <w:t>n°</w:t>
      </w:r>
      <w:r w:rsidRPr="00991677">
        <w:rPr>
          <w:lang w:val="fr-FR"/>
        </w:rPr>
        <w:t>2015-992 du 17 août 2015 relative à la transition énergétique pour la croissance verte</w:t>
      </w:r>
      <w:r>
        <w:rPr>
          <w:lang w:val="fr-FR"/>
        </w:rPr>
        <w:t xml:space="preserve">. La </w:t>
      </w:r>
      <w:r w:rsidRPr="00086522">
        <w:rPr>
          <w:lang w:val="fr-FR"/>
        </w:rPr>
        <w:t xml:space="preserve">taxe carbone </w:t>
      </w:r>
      <w:r>
        <w:rPr>
          <w:lang w:val="fr-FR"/>
        </w:rPr>
        <w:t xml:space="preserve">ne s’applique pas à </w:t>
      </w:r>
      <w:r w:rsidRPr="00086522">
        <w:rPr>
          <w:lang w:val="fr-FR"/>
        </w:rPr>
        <w:t xml:space="preserve">la consommation finale d'électricité, </w:t>
      </w:r>
      <w:r>
        <w:rPr>
          <w:lang w:val="fr-FR"/>
        </w:rPr>
        <w:t xml:space="preserve">dont la production </w:t>
      </w:r>
      <w:r w:rsidRPr="00086522">
        <w:rPr>
          <w:lang w:val="fr-FR"/>
        </w:rPr>
        <w:t xml:space="preserve">est couverte par le </w:t>
      </w:r>
      <w:r>
        <w:rPr>
          <w:lang w:val="fr-FR"/>
        </w:rPr>
        <w:t>système communautaire d’échange des quotas d’émission</w:t>
      </w:r>
      <w:r w:rsidRPr="00086522">
        <w:rPr>
          <w:lang w:val="fr-FR"/>
        </w:rPr>
        <w:t>.</w:t>
      </w:r>
    </w:p>
  </w:footnote>
  <w:footnote w:id="5">
    <w:p w14:paraId="56C4C429" w14:textId="42A02E4B" w:rsidR="0011323F" w:rsidRPr="005E0E66" w:rsidRDefault="0011323F">
      <w:pPr>
        <w:pStyle w:val="Notedebasdepage"/>
        <w:rPr>
          <w:lang w:val="fr-FR"/>
        </w:rPr>
      </w:pPr>
      <w:r>
        <w:rPr>
          <w:rStyle w:val="Appelnotedebasdep"/>
        </w:rPr>
        <w:footnoteRef/>
      </w:r>
      <w:r w:rsidRPr="005E0E66">
        <w:rPr>
          <w:lang w:val="fr-FR"/>
        </w:rPr>
        <w:t xml:space="preserve"> </w:t>
      </w:r>
      <w:r w:rsidR="00C04B70">
        <w:rPr>
          <w:lang w:val="fr-FR"/>
        </w:rPr>
        <w:t>D’après le portail W</w:t>
      </w:r>
      <w:r>
        <w:rPr>
          <w:lang w:val="fr-FR"/>
        </w:rPr>
        <w:t>ebstat de la Banque de France, le taux d’intérêt des crédits à la consommation a chuté de façon régulière de 6,66% au 1</w:t>
      </w:r>
      <w:r w:rsidRPr="005E0E66">
        <w:rPr>
          <w:vertAlign w:val="superscript"/>
          <w:lang w:val="fr-FR"/>
        </w:rPr>
        <w:t>er</w:t>
      </w:r>
      <w:r>
        <w:rPr>
          <w:lang w:val="fr-FR"/>
        </w:rPr>
        <w:t xml:space="preserve"> janvier 2012 à 4,02% au 1</w:t>
      </w:r>
      <w:r w:rsidRPr="005E0E66">
        <w:rPr>
          <w:vertAlign w:val="superscript"/>
          <w:lang w:val="fr-FR"/>
        </w:rPr>
        <w:t>er</w:t>
      </w:r>
      <w:r>
        <w:rPr>
          <w:lang w:val="fr-FR"/>
        </w:rPr>
        <w:t xml:space="preserve"> juin 2016 puis à 3,68% au 1</w:t>
      </w:r>
      <w:r w:rsidRPr="005E0E66">
        <w:rPr>
          <w:vertAlign w:val="superscript"/>
          <w:lang w:val="fr-FR"/>
        </w:rPr>
        <w:t>er</w:t>
      </w:r>
      <w:r>
        <w:rPr>
          <w:lang w:val="fr-FR"/>
        </w:rPr>
        <w:t xml:space="preserve"> octobre 2019.</w:t>
      </w:r>
    </w:p>
  </w:footnote>
  <w:footnote w:id="6">
    <w:p w14:paraId="333C1632" w14:textId="0E5C32F8" w:rsidR="0037183E" w:rsidRPr="005E0E66" w:rsidRDefault="0037183E">
      <w:pPr>
        <w:pStyle w:val="Notedebasdepage"/>
        <w:rPr>
          <w:lang w:val="fr-FR"/>
        </w:rPr>
      </w:pPr>
      <w:r>
        <w:rPr>
          <w:rStyle w:val="Appelnotedebasdep"/>
        </w:rPr>
        <w:footnoteRef/>
      </w:r>
      <w:r w:rsidRPr="005E0E66">
        <w:rPr>
          <w:lang w:val="fr-FR"/>
        </w:rPr>
        <w:t xml:space="preserve"> </w:t>
      </w:r>
      <w:r>
        <w:rPr>
          <w:lang w:val="fr-FR"/>
        </w:rPr>
        <w:t xml:space="preserve">Le prix plafond correspond au montant de la pénalité libératoire du dispositif. Pendant longtemps, cette pénalité a été fixée à 20€/MWh cumac. Elle a été abaissée </w:t>
      </w:r>
      <w:r w:rsidR="00A90913">
        <w:rPr>
          <w:lang w:val="fr-FR"/>
        </w:rPr>
        <w:t xml:space="preserve">en 2016 </w:t>
      </w:r>
      <w:r>
        <w:rPr>
          <w:lang w:val="fr-FR"/>
        </w:rPr>
        <w:t xml:space="preserve">à 15€/MWh cumac. Néanmoins, en raison de la fiscalité qui s’applique sur la pénalité au cas où </w:t>
      </w:r>
      <w:r w:rsidR="00A90913">
        <w:rPr>
          <w:lang w:val="fr-FR"/>
        </w:rPr>
        <w:t>celle-ci</w:t>
      </w:r>
      <w:r>
        <w:rPr>
          <w:lang w:val="fr-FR"/>
        </w:rPr>
        <w:t xml:space="preserve"> doit être acquittée, le coût d’opportunité d’un manquement à l’objectif est supérieur à 15€/MWh cumac.</w:t>
      </w:r>
      <w:r w:rsidR="00736B6E">
        <w:rPr>
          <w:lang w:val="fr-FR"/>
        </w:rPr>
        <w:t xml:space="preserve"> Pour prendre en compte ces </w:t>
      </w:r>
      <w:r w:rsidR="0048115B">
        <w:rPr>
          <w:lang w:val="fr-FR"/>
        </w:rPr>
        <w:t xml:space="preserve">différents </w:t>
      </w:r>
      <w:r w:rsidR="00736B6E">
        <w:rPr>
          <w:lang w:val="fr-FR"/>
        </w:rPr>
        <w:t>éléments, on fixe le prix plafond à 20€/MWh cumac.</w:t>
      </w:r>
    </w:p>
  </w:footnote>
  <w:footnote w:id="7">
    <w:p w14:paraId="3A34DEBA" w14:textId="5C5F0EA5" w:rsidR="00ED43F9" w:rsidRPr="005E0E66" w:rsidRDefault="00ED43F9">
      <w:pPr>
        <w:pStyle w:val="Notedebasdepage"/>
        <w:rPr>
          <w:lang w:val="fr-FR"/>
        </w:rPr>
      </w:pPr>
      <w:r>
        <w:rPr>
          <w:rStyle w:val="Appelnotedebasdep"/>
        </w:rPr>
        <w:footnoteRef/>
      </w:r>
      <w:r w:rsidRPr="005E0E66">
        <w:rPr>
          <w:lang w:val="fr-FR"/>
        </w:rPr>
        <w:t xml:space="preserve"> </w:t>
      </w:r>
      <w:r>
        <w:rPr>
          <w:lang w:val="fr-FR"/>
        </w:rPr>
        <w:t xml:space="preserve">Une comparaison (non reproduite ici) du scénario ZP à un scénario sans aucune politique et où les prix des énergies sont gelés à l’année de base permet de conclure que </w:t>
      </w:r>
      <w:r w:rsidR="00D71472">
        <w:rPr>
          <w:lang w:val="fr-FR"/>
        </w:rPr>
        <w:t xml:space="preserve">la hausse des prix des énergies </w:t>
      </w:r>
      <w:r w:rsidR="00B6099D">
        <w:rPr>
          <w:lang w:val="fr-FR"/>
        </w:rPr>
        <w:t>de 1,5% par an en moyenne contribue à la moitié des réductions autonomes de consommation d’énergie.</w:t>
      </w:r>
    </w:p>
  </w:footnote>
  <w:footnote w:id="8">
    <w:p w14:paraId="72D62E98" w14:textId="4660F4D0" w:rsidR="004B4021" w:rsidRPr="005E0E66" w:rsidRDefault="004B4021">
      <w:pPr>
        <w:pStyle w:val="Notedebasdepage"/>
        <w:rPr>
          <w:lang w:val="fr-FR"/>
        </w:rPr>
      </w:pPr>
      <w:r>
        <w:rPr>
          <w:rStyle w:val="Appelnotedebasdep"/>
        </w:rPr>
        <w:footnoteRef/>
      </w:r>
      <w:r w:rsidRPr="005E0E66">
        <w:rPr>
          <w:lang w:val="fr-FR"/>
        </w:rPr>
        <w:t xml:space="preserve"> </w:t>
      </w:r>
      <w:r>
        <w:rPr>
          <w:lang w:val="fr-FR"/>
        </w:rPr>
        <w:t>Un examen plus fin de cette dynamique (non détaillé ici) révèle que le nombre de sauts d’une seule étiquette s’élève à 355 000 en 2015. Cet</w:t>
      </w:r>
      <w:r w:rsidR="00E931BA">
        <w:rPr>
          <w:lang w:val="fr-FR"/>
        </w:rPr>
        <w:t>te valeur est cohérente avec l’</w:t>
      </w:r>
      <w:r>
        <w:rPr>
          <w:lang w:val="fr-FR"/>
        </w:rPr>
        <w:t xml:space="preserve">ordre de grandeur </w:t>
      </w:r>
      <w:r w:rsidR="00E931BA">
        <w:rPr>
          <w:lang w:val="fr-FR"/>
        </w:rPr>
        <w:t xml:space="preserve">de </w:t>
      </w:r>
      <w:r>
        <w:rPr>
          <w:lang w:val="fr-FR"/>
        </w:rPr>
        <w:t>1,04 million sauts d’une étiquette recensés dans l’enquête TREMI de l’A</w:t>
      </w:r>
      <w:r w:rsidR="00FE6049">
        <w:rPr>
          <w:lang w:val="fr-FR"/>
        </w:rPr>
        <w:t>deme</w:t>
      </w:r>
      <w:r>
        <w:rPr>
          <w:lang w:val="fr-FR"/>
        </w:rPr>
        <w:t xml:space="preserve"> </w:t>
      </w:r>
      <w:r w:rsidR="00FE6049">
        <w:rPr>
          <w:lang w:val="fr-FR"/>
        </w:rPr>
        <w:t xml:space="preserve">(2018) </w:t>
      </w:r>
      <w:r>
        <w:rPr>
          <w:lang w:val="fr-FR"/>
        </w:rPr>
        <w:t xml:space="preserve">pour </w:t>
      </w:r>
      <w:r w:rsidR="00D05D56">
        <w:rPr>
          <w:lang w:val="fr-FR"/>
        </w:rPr>
        <w:t xml:space="preserve">les seules maisons individuelles au cours de la </w:t>
      </w:r>
      <w:r>
        <w:rPr>
          <w:lang w:val="fr-FR"/>
        </w:rPr>
        <w:t>période 2014-2016.</w:t>
      </w:r>
    </w:p>
  </w:footnote>
  <w:footnote w:id="9">
    <w:p w14:paraId="3BF255F2" w14:textId="23D66150" w:rsidR="00181A12" w:rsidRPr="005F1651" w:rsidRDefault="00181A12">
      <w:pPr>
        <w:pStyle w:val="Notedebasdepage"/>
        <w:rPr>
          <w:lang w:val="fr-FR"/>
        </w:rPr>
      </w:pPr>
      <w:r>
        <w:rPr>
          <w:rStyle w:val="Appelnotedebasdep"/>
        </w:rPr>
        <w:footnoteRef/>
      </w:r>
      <w:r w:rsidRPr="005F1651">
        <w:rPr>
          <w:lang w:val="fr-FR"/>
        </w:rPr>
        <w:t xml:space="preserve"> Le modèle intègre, </w:t>
      </w:r>
      <w:r>
        <w:rPr>
          <w:lang w:val="fr-FR"/>
        </w:rPr>
        <w:t>pour</w:t>
      </w:r>
      <w:r w:rsidRPr="005F1651">
        <w:rPr>
          <w:lang w:val="fr-FR"/>
        </w:rPr>
        <w:t xml:space="preserve"> chaque étiquette DPE, une </w:t>
      </w:r>
      <w:r>
        <w:rPr>
          <w:lang w:val="fr-FR"/>
        </w:rPr>
        <w:t xml:space="preserve">contrainte qui empêche les effectifs de chaque étiquette de passer sous le seuil de </w:t>
      </w:r>
      <w:r w:rsidRPr="005F1651">
        <w:rPr>
          <w:lang w:val="fr-FR"/>
        </w:rPr>
        <w:t xml:space="preserve">5% </w:t>
      </w:r>
      <w:r>
        <w:rPr>
          <w:lang w:val="fr-FR"/>
        </w:rPr>
        <w:t xml:space="preserve">de leur niveau de </w:t>
      </w:r>
      <w:r w:rsidRPr="005F1651">
        <w:rPr>
          <w:lang w:val="fr-FR"/>
        </w:rPr>
        <w:t xml:space="preserve">2012. </w:t>
      </w:r>
      <w:r>
        <w:rPr>
          <w:lang w:val="fr-FR"/>
        </w:rPr>
        <w:t xml:space="preserve">Ce seuil vise à capter les </w:t>
      </w:r>
      <w:r w:rsidRPr="005F1651">
        <w:rPr>
          <w:lang w:val="fr-FR"/>
        </w:rPr>
        <w:t>contraintes architecturales ou urbaines.</w:t>
      </w:r>
    </w:p>
  </w:footnote>
  <w:footnote w:id="10">
    <w:p w14:paraId="497A49DA" w14:textId="6D5E3C1D" w:rsidR="00181A12" w:rsidRPr="008C5A46" w:rsidRDefault="00181A12">
      <w:pPr>
        <w:pStyle w:val="Notedebasdepage"/>
        <w:rPr>
          <w:lang w:val="fr-FR"/>
        </w:rPr>
      </w:pPr>
      <w:r>
        <w:rPr>
          <w:rStyle w:val="Appelnotedebasdep"/>
        </w:rPr>
        <w:footnoteRef/>
      </w:r>
      <w:r>
        <w:rPr>
          <w:lang w:val="fr-FR"/>
        </w:rPr>
        <w:t xml:space="preserve"> L’</w:t>
      </w:r>
      <w:r w:rsidRPr="008C5A46">
        <w:rPr>
          <w:lang w:val="fr-FR"/>
        </w:rPr>
        <w:t xml:space="preserve">effet de la taxe carbone sur les dépenses énergétiques est très proche dans les scénarios </w:t>
      </w:r>
      <w:r>
        <w:rPr>
          <w:lang w:val="fr-FR"/>
        </w:rPr>
        <w:t>TP</w:t>
      </w:r>
      <w:r w:rsidRPr="008C5A46">
        <w:rPr>
          <w:lang w:val="fr-FR"/>
        </w:rPr>
        <w:t xml:space="preserve"> et </w:t>
      </w:r>
      <w:r>
        <w:rPr>
          <w:lang w:val="fr-FR"/>
        </w:rPr>
        <w:t>TP</w:t>
      </w:r>
      <w:r w:rsidRPr="008C5A46">
        <w:rPr>
          <w:lang w:val="fr-FR"/>
        </w:rPr>
        <w:t>+</w:t>
      </w:r>
      <w:r>
        <w:rPr>
          <w:lang w:val="fr-FR"/>
        </w:rPr>
        <w:t>, puisqu’il n’est pas directement affecté par l’hypothèse d’anticipation</w:t>
      </w:r>
      <w:r w:rsidRPr="008C5A46">
        <w:rPr>
          <w:lang w:val="fr-FR"/>
        </w:rPr>
        <w:t>.</w:t>
      </w:r>
    </w:p>
  </w:footnote>
  <w:footnote w:id="11">
    <w:p w14:paraId="4DCF3731" w14:textId="4A4C43D8" w:rsidR="00181A12" w:rsidRPr="008C5A46" w:rsidRDefault="00181A12">
      <w:pPr>
        <w:pStyle w:val="Notedebasdepage"/>
        <w:rPr>
          <w:lang w:val="fr-FR"/>
        </w:rPr>
      </w:pPr>
      <w:r>
        <w:rPr>
          <w:rStyle w:val="Appelnotedebasdep"/>
        </w:rPr>
        <w:footnoteRef/>
      </w:r>
      <w:r w:rsidRPr="008C5A46">
        <w:rPr>
          <w:lang w:val="fr-FR"/>
        </w:rPr>
        <w:t xml:space="preserve"> </w:t>
      </w:r>
      <w:r>
        <w:rPr>
          <w:lang w:val="fr-FR"/>
        </w:rPr>
        <w:t>La réglementation thermique est exclue de cette analyse</w:t>
      </w:r>
      <w:r w:rsidRPr="008C5A46">
        <w:rPr>
          <w:lang w:val="fr-FR"/>
        </w:rPr>
        <w:t xml:space="preserve"> car </w:t>
      </w:r>
      <w:r>
        <w:rPr>
          <w:lang w:val="fr-FR"/>
        </w:rPr>
        <w:t>elle n'entraîne</w:t>
      </w:r>
      <w:r w:rsidRPr="008C5A46">
        <w:rPr>
          <w:lang w:val="fr-FR"/>
        </w:rPr>
        <w:t xml:space="preserve"> </w:t>
      </w:r>
      <w:r>
        <w:rPr>
          <w:lang w:val="fr-FR"/>
        </w:rPr>
        <w:t xml:space="preserve">pas de </w:t>
      </w:r>
      <w:r w:rsidRPr="008C5A46">
        <w:rPr>
          <w:lang w:val="fr-FR"/>
        </w:rPr>
        <w:t>coût public direct.</w:t>
      </w:r>
    </w:p>
  </w:footnote>
  <w:footnote w:id="12">
    <w:p w14:paraId="6CD30CAC" w14:textId="760F683A" w:rsidR="00181A12" w:rsidRPr="00D95F27" w:rsidRDefault="00181A12">
      <w:pPr>
        <w:pStyle w:val="Notedebasdepage"/>
        <w:rPr>
          <w:lang w:val="fr-FR"/>
        </w:rPr>
      </w:pPr>
      <w:r w:rsidRPr="005771E8">
        <w:rPr>
          <w:rStyle w:val="Appelnotedebasdep"/>
        </w:rPr>
        <w:footnoteRef/>
      </w:r>
      <w:r w:rsidRPr="00D95F27">
        <w:rPr>
          <w:lang w:val="fr-FR"/>
        </w:rPr>
        <w:t xml:space="preserve"> Si le </w:t>
      </w:r>
      <w:r>
        <w:rPr>
          <w:lang w:val="fr-FR"/>
        </w:rPr>
        <w:t xml:space="preserve">dispositif était limité au secteur considéré ici, </w:t>
      </w:r>
      <w:r w:rsidRPr="00D95F27">
        <w:rPr>
          <w:lang w:val="fr-FR"/>
        </w:rPr>
        <w:t>le coût de</w:t>
      </w:r>
      <w:r>
        <w:rPr>
          <w:lang w:val="fr-FR"/>
        </w:rPr>
        <w:t>s</w:t>
      </w:r>
      <w:r w:rsidRPr="00D95F27">
        <w:rPr>
          <w:lang w:val="fr-FR"/>
        </w:rPr>
        <w:t xml:space="preserve"> subvention</w:t>
      </w:r>
      <w:r>
        <w:rPr>
          <w:lang w:val="fr-FR"/>
        </w:rPr>
        <w:t>s</w:t>
      </w:r>
      <w:r w:rsidRPr="00D95F27">
        <w:rPr>
          <w:lang w:val="fr-FR"/>
        </w:rPr>
        <w:t xml:space="preserve"> serait égal aux recettes </w:t>
      </w:r>
      <w:r>
        <w:rPr>
          <w:lang w:val="fr-FR"/>
        </w:rPr>
        <w:t>des taxes</w:t>
      </w:r>
      <w:r w:rsidRPr="00D95F27">
        <w:rPr>
          <w:lang w:val="fr-FR"/>
        </w:rPr>
        <w:t>.</w:t>
      </w:r>
    </w:p>
  </w:footnote>
  <w:footnote w:id="13">
    <w:p w14:paraId="50D495A8" w14:textId="070BA3B0" w:rsidR="00181A12" w:rsidRPr="008C5A46" w:rsidRDefault="00181A12">
      <w:pPr>
        <w:pStyle w:val="Notedebasdepage"/>
        <w:rPr>
          <w:lang w:val="fr-FR"/>
        </w:rPr>
      </w:pPr>
      <w:r>
        <w:rPr>
          <w:rStyle w:val="Appelnotedebasdep"/>
        </w:rPr>
        <w:footnoteRef/>
      </w:r>
      <w:r w:rsidRPr="008C5A46">
        <w:rPr>
          <w:lang w:val="fr-FR"/>
        </w:rPr>
        <w:t xml:space="preserve"> Lorsque Nicolas Hulot a démissionné de son poste de ministre du </w:t>
      </w:r>
      <w:r>
        <w:rPr>
          <w:lang w:val="fr-FR"/>
        </w:rPr>
        <w:t xml:space="preserve">l’écologie </w:t>
      </w:r>
      <w:r w:rsidRPr="008C5A46">
        <w:rPr>
          <w:lang w:val="fr-FR"/>
        </w:rPr>
        <w:t xml:space="preserve">le 4 septembre 2018, </w:t>
      </w:r>
      <w:r>
        <w:rPr>
          <w:lang w:val="fr-FR"/>
        </w:rPr>
        <w:t>il a notamment motivé sa décision par le manquement à cet objectif</w:t>
      </w:r>
      <w:r w:rsidRPr="008C5A46">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6A5"/>
    <w:multiLevelType w:val="hybridMultilevel"/>
    <w:tmpl w:val="26D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D3DE2"/>
    <w:multiLevelType w:val="hybridMultilevel"/>
    <w:tmpl w:val="8F7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F2532"/>
    <w:multiLevelType w:val="hybridMultilevel"/>
    <w:tmpl w:val="69CC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4180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DEE512A"/>
    <w:multiLevelType w:val="hybridMultilevel"/>
    <w:tmpl w:val="E07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97B0E"/>
    <w:multiLevelType w:val="hybridMultilevel"/>
    <w:tmpl w:val="53B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2266B"/>
    <w:multiLevelType w:val="hybridMultilevel"/>
    <w:tmpl w:val="C1F8F10C"/>
    <w:lvl w:ilvl="0" w:tplc="92BCDB62">
      <w:start w:val="16"/>
      <w:numFmt w:val="bullet"/>
      <w:lvlText w:val=""/>
      <w:lvlJc w:val="left"/>
      <w:pPr>
        <w:ind w:left="720" w:hanging="360"/>
      </w:pPr>
      <w:rPr>
        <w:rFonts w:ascii="Symbol" w:eastAsiaTheme="minorHAnsi" w:hAnsi="Symbol"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0638E"/>
    <w:multiLevelType w:val="hybridMultilevel"/>
    <w:tmpl w:val="382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52F52"/>
    <w:multiLevelType w:val="hybridMultilevel"/>
    <w:tmpl w:val="4EB8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374F6"/>
    <w:multiLevelType w:val="hybridMultilevel"/>
    <w:tmpl w:val="AAB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26C51"/>
    <w:multiLevelType w:val="hybridMultilevel"/>
    <w:tmpl w:val="63A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D61A4"/>
    <w:multiLevelType w:val="hybridMultilevel"/>
    <w:tmpl w:val="1C30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C1A72"/>
    <w:multiLevelType w:val="hybridMultilevel"/>
    <w:tmpl w:val="13840108"/>
    <w:lvl w:ilvl="0" w:tplc="0BBEF7C6">
      <w:start w:val="16"/>
      <w:numFmt w:val="bullet"/>
      <w:lvlText w:val=""/>
      <w:lvlJc w:val="left"/>
      <w:pPr>
        <w:ind w:left="720" w:hanging="360"/>
      </w:pPr>
      <w:rPr>
        <w:rFonts w:ascii="Symbol" w:eastAsiaTheme="minorHAnsi" w:hAnsi="Symbol"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23B5C"/>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731549EE"/>
    <w:multiLevelType w:val="hybridMultilevel"/>
    <w:tmpl w:val="CA52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648EB"/>
    <w:multiLevelType w:val="hybridMultilevel"/>
    <w:tmpl w:val="56C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76A16"/>
    <w:multiLevelType w:val="hybridMultilevel"/>
    <w:tmpl w:val="596E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8"/>
  </w:num>
  <w:num w:numId="5">
    <w:abstractNumId w:val="11"/>
  </w:num>
  <w:num w:numId="6">
    <w:abstractNumId w:val="14"/>
  </w:num>
  <w:num w:numId="7">
    <w:abstractNumId w:val="9"/>
  </w:num>
  <w:num w:numId="8">
    <w:abstractNumId w:val="5"/>
  </w:num>
  <w:num w:numId="9">
    <w:abstractNumId w:val="15"/>
  </w:num>
  <w:num w:numId="10">
    <w:abstractNumId w:val="3"/>
  </w:num>
  <w:num w:numId="11">
    <w:abstractNumId w:val="6"/>
  </w:num>
  <w:num w:numId="12">
    <w:abstractNumId w:val="12"/>
  </w:num>
  <w:num w:numId="13">
    <w:abstractNumId w:val="7"/>
  </w:num>
  <w:num w:numId="14">
    <w:abstractNumId w:val="1"/>
  </w:num>
  <w:num w:numId="15">
    <w:abstractNumId w:val="4"/>
  </w:num>
  <w:num w:numId="16">
    <w:abstractNumId w:val="2"/>
  </w:num>
  <w:num w:numId="1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2"/>
    <w:rsid w:val="000010DB"/>
    <w:rsid w:val="000014C6"/>
    <w:rsid w:val="00001781"/>
    <w:rsid w:val="000019C5"/>
    <w:rsid w:val="00001ED7"/>
    <w:rsid w:val="000028B8"/>
    <w:rsid w:val="000038EC"/>
    <w:rsid w:val="0000515B"/>
    <w:rsid w:val="00007DD2"/>
    <w:rsid w:val="00013516"/>
    <w:rsid w:val="00013BCE"/>
    <w:rsid w:val="00013C7E"/>
    <w:rsid w:val="000160DF"/>
    <w:rsid w:val="0002041A"/>
    <w:rsid w:val="00020D7F"/>
    <w:rsid w:val="0002193F"/>
    <w:rsid w:val="000236F2"/>
    <w:rsid w:val="00024848"/>
    <w:rsid w:val="000259DD"/>
    <w:rsid w:val="00027B45"/>
    <w:rsid w:val="00030A2B"/>
    <w:rsid w:val="000315CE"/>
    <w:rsid w:val="00031EDE"/>
    <w:rsid w:val="00032AB7"/>
    <w:rsid w:val="00034FB8"/>
    <w:rsid w:val="00037018"/>
    <w:rsid w:val="0004090A"/>
    <w:rsid w:val="0004122D"/>
    <w:rsid w:val="00043150"/>
    <w:rsid w:val="0004330A"/>
    <w:rsid w:val="00044FAC"/>
    <w:rsid w:val="000453EA"/>
    <w:rsid w:val="000466E4"/>
    <w:rsid w:val="00046AEA"/>
    <w:rsid w:val="00047D0A"/>
    <w:rsid w:val="0005188A"/>
    <w:rsid w:val="00053D1C"/>
    <w:rsid w:val="00055E2B"/>
    <w:rsid w:val="000602E3"/>
    <w:rsid w:val="0006040C"/>
    <w:rsid w:val="0006184A"/>
    <w:rsid w:val="000626E3"/>
    <w:rsid w:val="0006498E"/>
    <w:rsid w:val="00065247"/>
    <w:rsid w:val="00065EC3"/>
    <w:rsid w:val="000678C8"/>
    <w:rsid w:val="00067FEE"/>
    <w:rsid w:val="00070A83"/>
    <w:rsid w:val="00074F42"/>
    <w:rsid w:val="000752E4"/>
    <w:rsid w:val="00076BE5"/>
    <w:rsid w:val="00081433"/>
    <w:rsid w:val="00083105"/>
    <w:rsid w:val="000842D0"/>
    <w:rsid w:val="00084A23"/>
    <w:rsid w:val="00085CF2"/>
    <w:rsid w:val="00086522"/>
    <w:rsid w:val="00091E9D"/>
    <w:rsid w:val="0009308D"/>
    <w:rsid w:val="00093B94"/>
    <w:rsid w:val="00096169"/>
    <w:rsid w:val="00097BEB"/>
    <w:rsid w:val="000A1953"/>
    <w:rsid w:val="000A20C7"/>
    <w:rsid w:val="000A41C0"/>
    <w:rsid w:val="000A41FF"/>
    <w:rsid w:val="000A45EC"/>
    <w:rsid w:val="000A4CA6"/>
    <w:rsid w:val="000A5376"/>
    <w:rsid w:val="000A588A"/>
    <w:rsid w:val="000A7CE0"/>
    <w:rsid w:val="000B0D26"/>
    <w:rsid w:val="000B26A5"/>
    <w:rsid w:val="000B270F"/>
    <w:rsid w:val="000B604F"/>
    <w:rsid w:val="000B781C"/>
    <w:rsid w:val="000C0325"/>
    <w:rsid w:val="000C06F8"/>
    <w:rsid w:val="000C2B73"/>
    <w:rsid w:val="000C631C"/>
    <w:rsid w:val="000D3034"/>
    <w:rsid w:val="000D3843"/>
    <w:rsid w:val="000D41AD"/>
    <w:rsid w:val="000D4370"/>
    <w:rsid w:val="000D63D3"/>
    <w:rsid w:val="000D6C07"/>
    <w:rsid w:val="000D6E9F"/>
    <w:rsid w:val="000E0C45"/>
    <w:rsid w:val="000E365C"/>
    <w:rsid w:val="000E494B"/>
    <w:rsid w:val="000E4E7E"/>
    <w:rsid w:val="000E56DF"/>
    <w:rsid w:val="000F06CA"/>
    <w:rsid w:val="000F3FB0"/>
    <w:rsid w:val="000F6418"/>
    <w:rsid w:val="000F7179"/>
    <w:rsid w:val="00100AC3"/>
    <w:rsid w:val="00100EB5"/>
    <w:rsid w:val="001012EB"/>
    <w:rsid w:val="00101BCA"/>
    <w:rsid w:val="00103762"/>
    <w:rsid w:val="00106A7E"/>
    <w:rsid w:val="00107ACD"/>
    <w:rsid w:val="00111077"/>
    <w:rsid w:val="0011268C"/>
    <w:rsid w:val="0011296F"/>
    <w:rsid w:val="00112C64"/>
    <w:rsid w:val="0011323F"/>
    <w:rsid w:val="00114266"/>
    <w:rsid w:val="001153E5"/>
    <w:rsid w:val="00117B89"/>
    <w:rsid w:val="00117FC4"/>
    <w:rsid w:val="00120578"/>
    <w:rsid w:val="00120B62"/>
    <w:rsid w:val="00121530"/>
    <w:rsid w:val="001229D6"/>
    <w:rsid w:val="00122C26"/>
    <w:rsid w:val="00123369"/>
    <w:rsid w:val="001233F3"/>
    <w:rsid w:val="00123D80"/>
    <w:rsid w:val="00124671"/>
    <w:rsid w:val="00124C1B"/>
    <w:rsid w:val="001279B3"/>
    <w:rsid w:val="00131132"/>
    <w:rsid w:val="0013124C"/>
    <w:rsid w:val="0013193D"/>
    <w:rsid w:val="001320D6"/>
    <w:rsid w:val="001322BA"/>
    <w:rsid w:val="001322DB"/>
    <w:rsid w:val="00132377"/>
    <w:rsid w:val="00135954"/>
    <w:rsid w:val="00137731"/>
    <w:rsid w:val="00137D58"/>
    <w:rsid w:val="001402B2"/>
    <w:rsid w:val="00141149"/>
    <w:rsid w:val="00142B76"/>
    <w:rsid w:val="0014377C"/>
    <w:rsid w:val="00144391"/>
    <w:rsid w:val="00145712"/>
    <w:rsid w:val="001471EF"/>
    <w:rsid w:val="00147624"/>
    <w:rsid w:val="00150639"/>
    <w:rsid w:val="001523DC"/>
    <w:rsid w:val="00154192"/>
    <w:rsid w:val="001558C3"/>
    <w:rsid w:val="0015708B"/>
    <w:rsid w:val="00162D97"/>
    <w:rsid w:val="001636E6"/>
    <w:rsid w:val="001640F5"/>
    <w:rsid w:val="00164306"/>
    <w:rsid w:val="0016478F"/>
    <w:rsid w:val="001647C3"/>
    <w:rsid w:val="00165116"/>
    <w:rsid w:val="001666F1"/>
    <w:rsid w:val="0016676E"/>
    <w:rsid w:val="00166B7E"/>
    <w:rsid w:val="0017037F"/>
    <w:rsid w:val="00170E9B"/>
    <w:rsid w:val="00171276"/>
    <w:rsid w:val="00171612"/>
    <w:rsid w:val="00173B8B"/>
    <w:rsid w:val="00175410"/>
    <w:rsid w:val="0017757D"/>
    <w:rsid w:val="00180D27"/>
    <w:rsid w:val="00181408"/>
    <w:rsid w:val="001817F8"/>
    <w:rsid w:val="00181A12"/>
    <w:rsid w:val="00183958"/>
    <w:rsid w:val="0018567F"/>
    <w:rsid w:val="00186697"/>
    <w:rsid w:val="0019388C"/>
    <w:rsid w:val="00195E0A"/>
    <w:rsid w:val="0019676B"/>
    <w:rsid w:val="001A097F"/>
    <w:rsid w:val="001A15F5"/>
    <w:rsid w:val="001A1F25"/>
    <w:rsid w:val="001A3407"/>
    <w:rsid w:val="001A595E"/>
    <w:rsid w:val="001B01B2"/>
    <w:rsid w:val="001B125C"/>
    <w:rsid w:val="001B15FE"/>
    <w:rsid w:val="001B19B0"/>
    <w:rsid w:val="001B314B"/>
    <w:rsid w:val="001B4252"/>
    <w:rsid w:val="001B48E8"/>
    <w:rsid w:val="001B4F16"/>
    <w:rsid w:val="001B5985"/>
    <w:rsid w:val="001B7206"/>
    <w:rsid w:val="001B79DC"/>
    <w:rsid w:val="001C1144"/>
    <w:rsid w:val="001C18BD"/>
    <w:rsid w:val="001C2EC5"/>
    <w:rsid w:val="001C2F36"/>
    <w:rsid w:val="001C3349"/>
    <w:rsid w:val="001C4030"/>
    <w:rsid w:val="001C49A9"/>
    <w:rsid w:val="001C4F01"/>
    <w:rsid w:val="001C60A1"/>
    <w:rsid w:val="001D0A76"/>
    <w:rsid w:val="001D192A"/>
    <w:rsid w:val="001D4C0E"/>
    <w:rsid w:val="001D57E2"/>
    <w:rsid w:val="001D64F4"/>
    <w:rsid w:val="001E04D3"/>
    <w:rsid w:val="001E080F"/>
    <w:rsid w:val="001E3EF9"/>
    <w:rsid w:val="001E407B"/>
    <w:rsid w:val="001E6DA7"/>
    <w:rsid w:val="001F0750"/>
    <w:rsid w:val="001F1B4A"/>
    <w:rsid w:val="001F20B5"/>
    <w:rsid w:val="001F20B6"/>
    <w:rsid w:val="001F2579"/>
    <w:rsid w:val="001F258B"/>
    <w:rsid w:val="001F2EE7"/>
    <w:rsid w:val="001F3CE5"/>
    <w:rsid w:val="001F44EA"/>
    <w:rsid w:val="001F4646"/>
    <w:rsid w:val="001F5BCF"/>
    <w:rsid w:val="001F6C9A"/>
    <w:rsid w:val="0020094D"/>
    <w:rsid w:val="0020562B"/>
    <w:rsid w:val="00205B9A"/>
    <w:rsid w:val="00210CF5"/>
    <w:rsid w:val="00211DE4"/>
    <w:rsid w:val="00213671"/>
    <w:rsid w:val="002148F7"/>
    <w:rsid w:val="00214A98"/>
    <w:rsid w:val="00214DAC"/>
    <w:rsid w:val="00216C19"/>
    <w:rsid w:val="00221294"/>
    <w:rsid w:val="00221BBE"/>
    <w:rsid w:val="00222439"/>
    <w:rsid w:val="0022253C"/>
    <w:rsid w:val="00222E53"/>
    <w:rsid w:val="00223DB1"/>
    <w:rsid w:val="002248F9"/>
    <w:rsid w:val="00224FC9"/>
    <w:rsid w:val="0022501C"/>
    <w:rsid w:val="002266CA"/>
    <w:rsid w:val="00231141"/>
    <w:rsid w:val="00231511"/>
    <w:rsid w:val="00231C85"/>
    <w:rsid w:val="00231FCE"/>
    <w:rsid w:val="00231FED"/>
    <w:rsid w:val="00232917"/>
    <w:rsid w:val="00232B74"/>
    <w:rsid w:val="0023539E"/>
    <w:rsid w:val="00235893"/>
    <w:rsid w:val="0023648B"/>
    <w:rsid w:val="0023651B"/>
    <w:rsid w:val="002369CE"/>
    <w:rsid w:val="00237971"/>
    <w:rsid w:val="002413D3"/>
    <w:rsid w:val="0024350F"/>
    <w:rsid w:val="00243C30"/>
    <w:rsid w:val="00243E68"/>
    <w:rsid w:val="00244873"/>
    <w:rsid w:val="002450E2"/>
    <w:rsid w:val="002451C9"/>
    <w:rsid w:val="00246094"/>
    <w:rsid w:val="00246A26"/>
    <w:rsid w:val="00247669"/>
    <w:rsid w:val="00247D90"/>
    <w:rsid w:val="00250C27"/>
    <w:rsid w:val="00253773"/>
    <w:rsid w:val="002548FB"/>
    <w:rsid w:val="00255560"/>
    <w:rsid w:val="002601BE"/>
    <w:rsid w:val="00260891"/>
    <w:rsid w:val="00261ABA"/>
    <w:rsid w:val="002621C0"/>
    <w:rsid w:val="002652C4"/>
    <w:rsid w:val="00266224"/>
    <w:rsid w:val="00267709"/>
    <w:rsid w:val="00267FFC"/>
    <w:rsid w:val="00271216"/>
    <w:rsid w:val="002712AD"/>
    <w:rsid w:val="0027137E"/>
    <w:rsid w:val="002727AD"/>
    <w:rsid w:val="0027311F"/>
    <w:rsid w:val="00273338"/>
    <w:rsid w:val="00273733"/>
    <w:rsid w:val="00273F74"/>
    <w:rsid w:val="00274324"/>
    <w:rsid w:val="00275404"/>
    <w:rsid w:val="00275D4A"/>
    <w:rsid w:val="002760CB"/>
    <w:rsid w:val="00276A7D"/>
    <w:rsid w:val="00276F1C"/>
    <w:rsid w:val="00280D52"/>
    <w:rsid w:val="00281912"/>
    <w:rsid w:val="00281C40"/>
    <w:rsid w:val="002843BD"/>
    <w:rsid w:val="00287E45"/>
    <w:rsid w:val="00291BC9"/>
    <w:rsid w:val="0029213F"/>
    <w:rsid w:val="00293BDA"/>
    <w:rsid w:val="002947EE"/>
    <w:rsid w:val="00294CAF"/>
    <w:rsid w:val="002968D6"/>
    <w:rsid w:val="002A078F"/>
    <w:rsid w:val="002A158B"/>
    <w:rsid w:val="002A1C8F"/>
    <w:rsid w:val="002A5860"/>
    <w:rsid w:val="002A6257"/>
    <w:rsid w:val="002A7137"/>
    <w:rsid w:val="002B1CDB"/>
    <w:rsid w:val="002B2E87"/>
    <w:rsid w:val="002B4332"/>
    <w:rsid w:val="002B4352"/>
    <w:rsid w:val="002B501F"/>
    <w:rsid w:val="002B5746"/>
    <w:rsid w:val="002B74A8"/>
    <w:rsid w:val="002B7779"/>
    <w:rsid w:val="002C0C33"/>
    <w:rsid w:val="002C124E"/>
    <w:rsid w:val="002C2794"/>
    <w:rsid w:val="002C2D34"/>
    <w:rsid w:val="002C6778"/>
    <w:rsid w:val="002C6FC3"/>
    <w:rsid w:val="002C7E54"/>
    <w:rsid w:val="002D11B7"/>
    <w:rsid w:val="002D1682"/>
    <w:rsid w:val="002D1BF2"/>
    <w:rsid w:val="002D355D"/>
    <w:rsid w:val="002D3AE3"/>
    <w:rsid w:val="002D3DC3"/>
    <w:rsid w:val="002D464D"/>
    <w:rsid w:val="002D4655"/>
    <w:rsid w:val="002D7071"/>
    <w:rsid w:val="002D79A0"/>
    <w:rsid w:val="002D7B80"/>
    <w:rsid w:val="002E00C2"/>
    <w:rsid w:val="002E29F4"/>
    <w:rsid w:val="002E2D5B"/>
    <w:rsid w:val="002E323F"/>
    <w:rsid w:val="002E3963"/>
    <w:rsid w:val="002E5D92"/>
    <w:rsid w:val="002E6541"/>
    <w:rsid w:val="002E66D9"/>
    <w:rsid w:val="002F0481"/>
    <w:rsid w:val="002F1E2C"/>
    <w:rsid w:val="002F4562"/>
    <w:rsid w:val="002F588A"/>
    <w:rsid w:val="00301525"/>
    <w:rsid w:val="0030170A"/>
    <w:rsid w:val="003019FC"/>
    <w:rsid w:val="00301A38"/>
    <w:rsid w:val="00301FBA"/>
    <w:rsid w:val="00303D6D"/>
    <w:rsid w:val="003061B3"/>
    <w:rsid w:val="00306360"/>
    <w:rsid w:val="00306FEF"/>
    <w:rsid w:val="00307DD1"/>
    <w:rsid w:val="003100AA"/>
    <w:rsid w:val="00310E57"/>
    <w:rsid w:val="0031205C"/>
    <w:rsid w:val="00313529"/>
    <w:rsid w:val="00315FC9"/>
    <w:rsid w:val="00316297"/>
    <w:rsid w:val="00316420"/>
    <w:rsid w:val="003167C9"/>
    <w:rsid w:val="00316999"/>
    <w:rsid w:val="00321C99"/>
    <w:rsid w:val="00322321"/>
    <w:rsid w:val="00322778"/>
    <w:rsid w:val="00323411"/>
    <w:rsid w:val="00324974"/>
    <w:rsid w:val="0032546A"/>
    <w:rsid w:val="00325A71"/>
    <w:rsid w:val="003302EC"/>
    <w:rsid w:val="003312D4"/>
    <w:rsid w:val="00332228"/>
    <w:rsid w:val="003351BA"/>
    <w:rsid w:val="00336033"/>
    <w:rsid w:val="00337215"/>
    <w:rsid w:val="00337459"/>
    <w:rsid w:val="00337A54"/>
    <w:rsid w:val="00337A74"/>
    <w:rsid w:val="00340626"/>
    <w:rsid w:val="00340989"/>
    <w:rsid w:val="00341226"/>
    <w:rsid w:val="00342EB5"/>
    <w:rsid w:val="00343500"/>
    <w:rsid w:val="0034375A"/>
    <w:rsid w:val="00345A51"/>
    <w:rsid w:val="0034633A"/>
    <w:rsid w:val="00346750"/>
    <w:rsid w:val="0034772A"/>
    <w:rsid w:val="00350F48"/>
    <w:rsid w:val="00351616"/>
    <w:rsid w:val="00351A2E"/>
    <w:rsid w:val="00353DF5"/>
    <w:rsid w:val="0035553E"/>
    <w:rsid w:val="00355986"/>
    <w:rsid w:val="00355BD3"/>
    <w:rsid w:val="00356705"/>
    <w:rsid w:val="00357144"/>
    <w:rsid w:val="00357A2D"/>
    <w:rsid w:val="003604C0"/>
    <w:rsid w:val="003605DA"/>
    <w:rsid w:val="00360BDB"/>
    <w:rsid w:val="00361DAB"/>
    <w:rsid w:val="00362372"/>
    <w:rsid w:val="00362677"/>
    <w:rsid w:val="00365BF2"/>
    <w:rsid w:val="003677E5"/>
    <w:rsid w:val="0037183E"/>
    <w:rsid w:val="00373530"/>
    <w:rsid w:val="00375261"/>
    <w:rsid w:val="00375495"/>
    <w:rsid w:val="003770D9"/>
    <w:rsid w:val="003824B2"/>
    <w:rsid w:val="00382A3D"/>
    <w:rsid w:val="003844EE"/>
    <w:rsid w:val="003857B3"/>
    <w:rsid w:val="00385873"/>
    <w:rsid w:val="00385DA1"/>
    <w:rsid w:val="0038693D"/>
    <w:rsid w:val="00387D42"/>
    <w:rsid w:val="00392AEF"/>
    <w:rsid w:val="00393D73"/>
    <w:rsid w:val="0039461A"/>
    <w:rsid w:val="0039509D"/>
    <w:rsid w:val="00395747"/>
    <w:rsid w:val="00395CB4"/>
    <w:rsid w:val="00395D6F"/>
    <w:rsid w:val="003A1DA8"/>
    <w:rsid w:val="003A28D4"/>
    <w:rsid w:val="003A3FA8"/>
    <w:rsid w:val="003A4F2A"/>
    <w:rsid w:val="003A5068"/>
    <w:rsid w:val="003B030A"/>
    <w:rsid w:val="003B0968"/>
    <w:rsid w:val="003B14C9"/>
    <w:rsid w:val="003B1875"/>
    <w:rsid w:val="003B1BD3"/>
    <w:rsid w:val="003B2580"/>
    <w:rsid w:val="003B462E"/>
    <w:rsid w:val="003B5E9D"/>
    <w:rsid w:val="003B722E"/>
    <w:rsid w:val="003C0637"/>
    <w:rsid w:val="003C0F30"/>
    <w:rsid w:val="003C2C70"/>
    <w:rsid w:val="003C35B1"/>
    <w:rsid w:val="003C6178"/>
    <w:rsid w:val="003C665A"/>
    <w:rsid w:val="003C6711"/>
    <w:rsid w:val="003C7F79"/>
    <w:rsid w:val="003D002A"/>
    <w:rsid w:val="003D3BDC"/>
    <w:rsid w:val="003D54B7"/>
    <w:rsid w:val="003D7B33"/>
    <w:rsid w:val="003E0ED9"/>
    <w:rsid w:val="003E260C"/>
    <w:rsid w:val="003E7D50"/>
    <w:rsid w:val="003F1225"/>
    <w:rsid w:val="003F1B68"/>
    <w:rsid w:val="003F2401"/>
    <w:rsid w:val="003F6CE1"/>
    <w:rsid w:val="003F7274"/>
    <w:rsid w:val="003F72EA"/>
    <w:rsid w:val="00401816"/>
    <w:rsid w:val="00401DA9"/>
    <w:rsid w:val="004033C4"/>
    <w:rsid w:val="00406A67"/>
    <w:rsid w:val="00407446"/>
    <w:rsid w:val="00407CAF"/>
    <w:rsid w:val="00410678"/>
    <w:rsid w:val="00412296"/>
    <w:rsid w:val="00413007"/>
    <w:rsid w:val="00413035"/>
    <w:rsid w:val="004133FF"/>
    <w:rsid w:val="0041433D"/>
    <w:rsid w:val="00415C9B"/>
    <w:rsid w:val="00415EAA"/>
    <w:rsid w:val="00416563"/>
    <w:rsid w:val="0041657E"/>
    <w:rsid w:val="00416C11"/>
    <w:rsid w:val="00417781"/>
    <w:rsid w:val="00421796"/>
    <w:rsid w:val="004218B6"/>
    <w:rsid w:val="00422914"/>
    <w:rsid w:val="0042429A"/>
    <w:rsid w:val="00425410"/>
    <w:rsid w:val="00426458"/>
    <w:rsid w:val="004264C3"/>
    <w:rsid w:val="0042764D"/>
    <w:rsid w:val="00427BE4"/>
    <w:rsid w:val="00430C62"/>
    <w:rsid w:val="0043177B"/>
    <w:rsid w:val="00432926"/>
    <w:rsid w:val="00433059"/>
    <w:rsid w:val="00433970"/>
    <w:rsid w:val="00434CC1"/>
    <w:rsid w:val="00434FD6"/>
    <w:rsid w:val="0043509C"/>
    <w:rsid w:val="0043532C"/>
    <w:rsid w:val="00436E4D"/>
    <w:rsid w:val="00440B2E"/>
    <w:rsid w:val="00441222"/>
    <w:rsid w:val="0044175C"/>
    <w:rsid w:val="00443C8A"/>
    <w:rsid w:val="00445071"/>
    <w:rsid w:val="0044593A"/>
    <w:rsid w:val="00447666"/>
    <w:rsid w:val="004500BB"/>
    <w:rsid w:val="00450908"/>
    <w:rsid w:val="00450FF7"/>
    <w:rsid w:val="00451248"/>
    <w:rsid w:val="0045274E"/>
    <w:rsid w:val="00455221"/>
    <w:rsid w:val="0045598F"/>
    <w:rsid w:val="004567AC"/>
    <w:rsid w:val="00461175"/>
    <w:rsid w:val="004614A6"/>
    <w:rsid w:val="00462066"/>
    <w:rsid w:val="0046284B"/>
    <w:rsid w:val="00463196"/>
    <w:rsid w:val="004642C2"/>
    <w:rsid w:val="004651EC"/>
    <w:rsid w:val="004672BE"/>
    <w:rsid w:val="004676AF"/>
    <w:rsid w:val="00471123"/>
    <w:rsid w:val="00471D0E"/>
    <w:rsid w:val="004721AC"/>
    <w:rsid w:val="0047233E"/>
    <w:rsid w:val="00472357"/>
    <w:rsid w:val="00472CD8"/>
    <w:rsid w:val="004751A5"/>
    <w:rsid w:val="00475D70"/>
    <w:rsid w:val="0048069F"/>
    <w:rsid w:val="0048115B"/>
    <w:rsid w:val="0048141B"/>
    <w:rsid w:val="004838AD"/>
    <w:rsid w:val="004843A6"/>
    <w:rsid w:val="00484F6C"/>
    <w:rsid w:val="004871A6"/>
    <w:rsid w:val="00490E69"/>
    <w:rsid w:val="004916BE"/>
    <w:rsid w:val="0049439E"/>
    <w:rsid w:val="0049775F"/>
    <w:rsid w:val="00497B3D"/>
    <w:rsid w:val="004A0198"/>
    <w:rsid w:val="004A0FC8"/>
    <w:rsid w:val="004A21F2"/>
    <w:rsid w:val="004A43BC"/>
    <w:rsid w:val="004A4C2D"/>
    <w:rsid w:val="004A5A71"/>
    <w:rsid w:val="004A67C4"/>
    <w:rsid w:val="004A6A0A"/>
    <w:rsid w:val="004A6A98"/>
    <w:rsid w:val="004A779D"/>
    <w:rsid w:val="004B0245"/>
    <w:rsid w:val="004B0501"/>
    <w:rsid w:val="004B08D8"/>
    <w:rsid w:val="004B0B78"/>
    <w:rsid w:val="004B17CC"/>
    <w:rsid w:val="004B1A11"/>
    <w:rsid w:val="004B1BE4"/>
    <w:rsid w:val="004B3938"/>
    <w:rsid w:val="004B3AF8"/>
    <w:rsid w:val="004B4021"/>
    <w:rsid w:val="004B41CE"/>
    <w:rsid w:val="004B484A"/>
    <w:rsid w:val="004B58B5"/>
    <w:rsid w:val="004B6DAB"/>
    <w:rsid w:val="004B6E87"/>
    <w:rsid w:val="004B78F9"/>
    <w:rsid w:val="004C0C3B"/>
    <w:rsid w:val="004C227C"/>
    <w:rsid w:val="004C275E"/>
    <w:rsid w:val="004C2F0C"/>
    <w:rsid w:val="004C375D"/>
    <w:rsid w:val="004C3BC4"/>
    <w:rsid w:val="004C5D2E"/>
    <w:rsid w:val="004C5ECE"/>
    <w:rsid w:val="004C63AC"/>
    <w:rsid w:val="004D0CB4"/>
    <w:rsid w:val="004D2B37"/>
    <w:rsid w:val="004D37EA"/>
    <w:rsid w:val="004D3F18"/>
    <w:rsid w:val="004D41F2"/>
    <w:rsid w:val="004D437C"/>
    <w:rsid w:val="004E0055"/>
    <w:rsid w:val="004E427C"/>
    <w:rsid w:val="004E47AB"/>
    <w:rsid w:val="004E5D4C"/>
    <w:rsid w:val="004E5DCC"/>
    <w:rsid w:val="004E71EF"/>
    <w:rsid w:val="004E76E5"/>
    <w:rsid w:val="004E7EDD"/>
    <w:rsid w:val="004F0705"/>
    <w:rsid w:val="004F1152"/>
    <w:rsid w:val="004F1202"/>
    <w:rsid w:val="004F22DD"/>
    <w:rsid w:val="004F6EE7"/>
    <w:rsid w:val="00500468"/>
    <w:rsid w:val="00501AC6"/>
    <w:rsid w:val="005042E8"/>
    <w:rsid w:val="00504800"/>
    <w:rsid w:val="00504C6B"/>
    <w:rsid w:val="00505C6C"/>
    <w:rsid w:val="00507DDA"/>
    <w:rsid w:val="00510CDF"/>
    <w:rsid w:val="00511BE4"/>
    <w:rsid w:val="00512C13"/>
    <w:rsid w:val="005130CE"/>
    <w:rsid w:val="00513E66"/>
    <w:rsid w:val="00514E0D"/>
    <w:rsid w:val="00514F64"/>
    <w:rsid w:val="0051580C"/>
    <w:rsid w:val="00515BE6"/>
    <w:rsid w:val="005166F4"/>
    <w:rsid w:val="0051741C"/>
    <w:rsid w:val="00520FF7"/>
    <w:rsid w:val="00521971"/>
    <w:rsid w:val="00522860"/>
    <w:rsid w:val="00523A51"/>
    <w:rsid w:val="00525E30"/>
    <w:rsid w:val="00526827"/>
    <w:rsid w:val="005276FE"/>
    <w:rsid w:val="005351D0"/>
    <w:rsid w:val="005357E9"/>
    <w:rsid w:val="00536544"/>
    <w:rsid w:val="00536D44"/>
    <w:rsid w:val="00541EAA"/>
    <w:rsid w:val="005423DF"/>
    <w:rsid w:val="00543CCA"/>
    <w:rsid w:val="00544563"/>
    <w:rsid w:val="00544FA0"/>
    <w:rsid w:val="00546401"/>
    <w:rsid w:val="005469B3"/>
    <w:rsid w:val="00546EF3"/>
    <w:rsid w:val="00547184"/>
    <w:rsid w:val="00547242"/>
    <w:rsid w:val="005473D9"/>
    <w:rsid w:val="005509E3"/>
    <w:rsid w:val="005515BE"/>
    <w:rsid w:val="00552FD0"/>
    <w:rsid w:val="0055368B"/>
    <w:rsid w:val="005549D3"/>
    <w:rsid w:val="00555637"/>
    <w:rsid w:val="0055596D"/>
    <w:rsid w:val="00556BA8"/>
    <w:rsid w:val="00556D32"/>
    <w:rsid w:val="00560272"/>
    <w:rsid w:val="00561231"/>
    <w:rsid w:val="0056355B"/>
    <w:rsid w:val="00567017"/>
    <w:rsid w:val="00570B46"/>
    <w:rsid w:val="00570C69"/>
    <w:rsid w:val="00570CAC"/>
    <w:rsid w:val="00572FB3"/>
    <w:rsid w:val="00573BDA"/>
    <w:rsid w:val="005750AF"/>
    <w:rsid w:val="00575109"/>
    <w:rsid w:val="005771E8"/>
    <w:rsid w:val="0057726A"/>
    <w:rsid w:val="00580529"/>
    <w:rsid w:val="005810A3"/>
    <w:rsid w:val="00582CAC"/>
    <w:rsid w:val="00582FA2"/>
    <w:rsid w:val="00583CE4"/>
    <w:rsid w:val="00584BE4"/>
    <w:rsid w:val="005857ED"/>
    <w:rsid w:val="005871D1"/>
    <w:rsid w:val="00591BE7"/>
    <w:rsid w:val="0059334B"/>
    <w:rsid w:val="00596023"/>
    <w:rsid w:val="005A2834"/>
    <w:rsid w:val="005A28DB"/>
    <w:rsid w:val="005A2A07"/>
    <w:rsid w:val="005A2F9C"/>
    <w:rsid w:val="005A3278"/>
    <w:rsid w:val="005A5273"/>
    <w:rsid w:val="005A5A21"/>
    <w:rsid w:val="005B2ADF"/>
    <w:rsid w:val="005B371A"/>
    <w:rsid w:val="005B3B29"/>
    <w:rsid w:val="005B41D5"/>
    <w:rsid w:val="005B49E8"/>
    <w:rsid w:val="005B4EF4"/>
    <w:rsid w:val="005B51A3"/>
    <w:rsid w:val="005B5672"/>
    <w:rsid w:val="005C1461"/>
    <w:rsid w:val="005C1809"/>
    <w:rsid w:val="005C2C3C"/>
    <w:rsid w:val="005C3029"/>
    <w:rsid w:val="005C3637"/>
    <w:rsid w:val="005C6228"/>
    <w:rsid w:val="005C6304"/>
    <w:rsid w:val="005C6CDC"/>
    <w:rsid w:val="005C7016"/>
    <w:rsid w:val="005C7953"/>
    <w:rsid w:val="005D2A0D"/>
    <w:rsid w:val="005D38BD"/>
    <w:rsid w:val="005D44E0"/>
    <w:rsid w:val="005D6578"/>
    <w:rsid w:val="005D6E3B"/>
    <w:rsid w:val="005E073A"/>
    <w:rsid w:val="005E0E66"/>
    <w:rsid w:val="005E4704"/>
    <w:rsid w:val="005E4EBD"/>
    <w:rsid w:val="005E6749"/>
    <w:rsid w:val="005E70CB"/>
    <w:rsid w:val="005E78DD"/>
    <w:rsid w:val="005F055D"/>
    <w:rsid w:val="005F1263"/>
    <w:rsid w:val="005F1651"/>
    <w:rsid w:val="005F2E70"/>
    <w:rsid w:val="005F33A2"/>
    <w:rsid w:val="005F3F23"/>
    <w:rsid w:val="005F4B46"/>
    <w:rsid w:val="006009BA"/>
    <w:rsid w:val="0060295A"/>
    <w:rsid w:val="00602AE7"/>
    <w:rsid w:val="00604622"/>
    <w:rsid w:val="006046CB"/>
    <w:rsid w:val="00604CC7"/>
    <w:rsid w:val="00606FED"/>
    <w:rsid w:val="00607F87"/>
    <w:rsid w:val="00607FBA"/>
    <w:rsid w:val="00607FD5"/>
    <w:rsid w:val="00615CD6"/>
    <w:rsid w:val="00616A48"/>
    <w:rsid w:val="00616C0F"/>
    <w:rsid w:val="00616ED7"/>
    <w:rsid w:val="006173DC"/>
    <w:rsid w:val="00620494"/>
    <w:rsid w:val="00621192"/>
    <w:rsid w:val="00621244"/>
    <w:rsid w:val="00621E0D"/>
    <w:rsid w:val="00622236"/>
    <w:rsid w:val="00622A38"/>
    <w:rsid w:val="00623914"/>
    <w:rsid w:val="0062500A"/>
    <w:rsid w:val="006255EE"/>
    <w:rsid w:val="00625A0F"/>
    <w:rsid w:val="00626433"/>
    <w:rsid w:val="00626683"/>
    <w:rsid w:val="00626DC7"/>
    <w:rsid w:val="00630764"/>
    <w:rsid w:val="0063090C"/>
    <w:rsid w:val="00632CB1"/>
    <w:rsid w:val="00633EEC"/>
    <w:rsid w:val="00636C79"/>
    <w:rsid w:val="00636FA7"/>
    <w:rsid w:val="006404C0"/>
    <w:rsid w:val="00641707"/>
    <w:rsid w:val="00641926"/>
    <w:rsid w:val="006475D0"/>
    <w:rsid w:val="00647AED"/>
    <w:rsid w:val="00647CFC"/>
    <w:rsid w:val="00651FA3"/>
    <w:rsid w:val="0065412A"/>
    <w:rsid w:val="00654C1D"/>
    <w:rsid w:val="0065513F"/>
    <w:rsid w:val="00655631"/>
    <w:rsid w:val="006556F7"/>
    <w:rsid w:val="00655A0A"/>
    <w:rsid w:val="00655C9C"/>
    <w:rsid w:val="00656503"/>
    <w:rsid w:val="00657742"/>
    <w:rsid w:val="00660D70"/>
    <w:rsid w:val="00661B5F"/>
    <w:rsid w:val="0066219B"/>
    <w:rsid w:val="00662D7E"/>
    <w:rsid w:val="0066340A"/>
    <w:rsid w:val="0066388F"/>
    <w:rsid w:val="00663B1E"/>
    <w:rsid w:val="006651A6"/>
    <w:rsid w:val="006663CD"/>
    <w:rsid w:val="00666482"/>
    <w:rsid w:val="006705A6"/>
    <w:rsid w:val="00670AB4"/>
    <w:rsid w:val="0067113D"/>
    <w:rsid w:val="00671857"/>
    <w:rsid w:val="00673ACB"/>
    <w:rsid w:val="006753CC"/>
    <w:rsid w:val="00676B62"/>
    <w:rsid w:val="00677038"/>
    <w:rsid w:val="006808DC"/>
    <w:rsid w:val="006811A4"/>
    <w:rsid w:val="0068173D"/>
    <w:rsid w:val="00683784"/>
    <w:rsid w:val="00683D08"/>
    <w:rsid w:val="006856EC"/>
    <w:rsid w:val="006870AD"/>
    <w:rsid w:val="00687161"/>
    <w:rsid w:val="00687CAF"/>
    <w:rsid w:val="00687DEF"/>
    <w:rsid w:val="0069283F"/>
    <w:rsid w:val="00692AC9"/>
    <w:rsid w:val="00693EE7"/>
    <w:rsid w:val="006948A1"/>
    <w:rsid w:val="006976A4"/>
    <w:rsid w:val="006A13EF"/>
    <w:rsid w:val="006A3A9D"/>
    <w:rsid w:val="006A5606"/>
    <w:rsid w:val="006A5C89"/>
    <w:rsid w:val="006B0EC1"/>
    <w:rsid w:val="006B0FBA"/>
    <w:rsid w:val="006B25E9"/>
    <w:rsid w:val="006B406B"/>
    <w:rsid w:val="006B5311"/>
    <w:rsid w:val="006B6CCE"/>
    <w:rsid w:val="006C307B"/>
    <w:rsid w:val="006C31E0"/>
    <w:rsid w:val="006C39A6"/>
    <w:rsid w:val="006C4033"/>
    <w:rsid w:val="006C753F"/>
    <w:rsid w:val="006C7B53"/>
    <w:rsid w:val="006D06BE"/>
    <w:rsid w:val="006D0CA3"/>
    <w:rsid w:val="006D101E"/>
    <w:rsid w:val="006D1D3A"/>
    <w:rsid w:val="006D1F4E"/>
    <w:rsid w:val="006D271C"/>
    <w:rsid w:val="006D2C59"/>
    <w:rsid w:val="006D618B"/>
    <w:rsid w:val="006D6A56"/>
    <w:rsid w:val="006E06C6"/>
    <w:rsid w:val="006E086F"/>
    <w:rsid w:val="006E3133"/>
    <w:rsid w:val="006E5512"/>
    <w:rsid w:val="006E566B"/>
    <w:rsid w:val="006E5727"/>
    <w:rsid w:val="006E7FB2"/>
    <w:rsid w:val="006F182B"/>
    <w:rsid w:val="006F22C7"/>
    <w:rsid w:val="006F2AFF"/>
    <w:rsid w:val="006F3381"/>
    <w:rsid w:val="006F3B12"/>
    <w:rsid w:val="006F66D4"/>
    <w:rsid w:val="006F7EC4"/>
    <w:rsid w:val="00700E83"/>
    <w:rsid w:val="00701070"/>
    <w:rsid w:val="00702F64"/>
    <w:rsid w:val="007035B3"/>
    <w:rsid w:val="00703F6F"/>
    <w:rsid w:val="00706DFD"/>
    <w:rsid w:val="00706E7C"/>
    <w:rsid w:val="0071003B"/>
    <w:rsid w:val="00714F6F"/>
    <w:rsid w:val="00715C67"/>
    <w:rsid w:val="00716704"/>
    <w:rsid w:val="00717EC7"/>
    <w:rsid w:val="00721038"/>
    <w:rsid w:val="0072139E"/>
    <w:rsid w:val="007218AD"/>
    <w:rsid w:val="00722D05"/>
    <w:rsid w:val="007233D2"/>
    <w:rsid w:val="00724801"/>
    <w:rsid w:val="00724C6F"/>
    <w:rsid w:val="00725BBA"/>
    <w:rsid w:val="0072752A"/>
    <w:rsid w:val="00730EEA"/>
    <w:rsid w:val="007319E1"/>
    <w:rsid w:val="00735C51"/>
    <w:rsid w:val="00736492"/>
    <w:rsid w:val="00736B6E"/>
    <w:rsid w:val="00736FA0"/>
    <w:rsid w:val="007375F3"/>
    <w:rsid w:val="0073790C"/>
    <w:rsid w:val="0074255C"/>
    <w:rsid w:val="0074300F"/>
    <w:rsid w:val="00745BB2"/>
    <w:rsid w:val="00746E00"/>
    <w:rsid w:val="00747E6E"/>
    <w:rsid w:val="00751273"/>
    <w:rsid w:val="00751645"/>
    <w:rsid w:val="00753C8C"/>
    <w:rsid w:val="00754187"/>
    <w:rsid w:val="00755243"/>
    <w:rsid w:val="00756CCB"/>
    <w:rsid w:val="0075729A"/>
    <w:rsid w:val="00757F6F"/>
    <w:rsid w:val="00761991"/>
    <w:rsid w:val="00761CB8"/>
    <w:rsid w:val="00762B86"/>
    <w:rsid w:val="00762E77"/>
    <w:rsid w:val="00763C98"/>
    <w:rsid w:val="00764A3E"/>
    <w:rsid w:val="00766297"/>
    <w:rsid w:val="007668CE"/>
    <w:rsid w:val="00767010"/>
    <w:rsid w:val="007672FE"/>
    <w:rsid w:val="00771BC8"/>
    <w:rsid w:val="007725C7"/>
    <w:rsid w:val="00772C71"/>
    <w:rsid w:val="00774583"/>
    <w:rsid w:val="00774791"/>
    <w:rsid w:val="0077554A"/>
    <w:rsid w:val="00776E4D"/>
    <w:rsid w:val="00781BEF"/>
    <w:rsid w:val="00782591"/>
    <w:rsid w:val="00783091"/>
    <w:rsid w:val="00783F28"/>
    <w:rsid w:val="00786853"/>
    <w:rsid w:val="00787A5E"/>
    <w:rsid w:val="00790538"/>
    <w:rsid w:val="007915F6"/>
    <w:rsid w:val="00792912"/>
    <w:rsid w:val="00794941"/>
    <w:rsid w:val="007954ED"/>
    <w:rsid w:val="00795ACD"/>
    <w:rsid w:val="00797A72"/>
    <w:rsid w:val="00797C21"/>
    <w:rsid w:val="00797C27"/>
    <w:rsid w:val="007A13F5"/>
    <w:rsid w:val="007A2A97"/>
    <w:rsid w:val="007A2B8A"/>
    <w:rsid w:val="007A3A9E"/>
    <w:rsid w:val="007A3D88"/>
    <w:rsid w:val="007A4172"/>
    <w:rsid w:val="007A4749"/>
    <w:rsid w:val="007A4EA4"/>
    <w:rsid w:val="007A50F9"/>
    <w:rsid w:val="007A51DD"/>
    <w:rsid w:val="007A6D63"/>
    <w:rsid w:val="007B01D9"/>
    <w:rsid w:val="007B08C6"/>
    <w:rsid w:val="007B216F"/>
    <w:rsid w:val="007B3199"/>
    <w:rsid w:val="007B4855"/>
    <w:rsid w:val="007B662B"/>
    <w:rsid w:val="007B771A"/>
    <w:rsid w:val="007B7CE2"/>
    <w:rsid w:val="007C0F63"/>
    <w:rsid w:val="007C4EC2"/>
    <w:rsid w:val="007C7689"/>
    <w:rsid w:val="007D068B"/>
    <w:rsid w:val="007D08E9"/>
    <w:rsid w:val="007D0D3E"/>
    <w:rsid w:val="007D149E"/>
    <w:rsid w:val="007D33CA"/>
    <w:rsid w:val="007D3CBB"/>
    <w:rsid w:val="007D4C58"/>
    <w:rsid w:val="007D4F6A"/>
    <w:rsid w:val="007D531A"/>
    <w:rsid w:val="007D57F6"/>
    <w:rsid w:val="007D61B9"/>
    <w:rsid w:val="007D66C7"/>
    <w:rsid w:val="007D7146"/>
    <w:rsid w:val="007E0655"/>
    <w:rsid w:val="007E1F0E"/>
    <w:rsid w:val="007E2516"/>
    <w:rsid w:val="007E47C2"/>
    <w:rsid w:val="007E52D2"/>
    <w:rsid w:val="007E7182"/>
    <w:rsid w:val="007F23BD"/>
    <w:rsid w:val="007F26CC"/>
    <w:rsid w:val="007F69E5"/>
    <w:rsid w:val="007F70CB"/>
    <w:rsid w:val="0080073F"/>
    <w:rsid w:val="00800F46"/>
    <w:rsid w:val="0080136A"/>
    <w:rsid w:val="00801752"/>
    <w:rsid w:val="00801A17"/>
    <w:rsid w:val="0080427B"/>
    <w:rsid w:val="0080436E"/>
    <w:rsid w:val="00804599"/>
    <w:rsid w:val="00806702"/>
    <w:rsid w:val="008069E2"/>
    <w:rsid w:val="00806C62"/>
    <w:rsid w:val="00807E98"/>
    <w:rsid w:val="00810B0D"/>
    <w:rsid w:val="00811629"/>
    <w:rsid w:val="00820943"/>
    <w:rsid w:val="00821FE2"/>
    <w:rsid w:val="0082257A"/>
    <w:rsid w:val="00822BFB"/>
    <w:rsid w:val="00822FF5"/>
    <w:rsid w:val="00824BC1"/>
    <w:rsid w:val="0082517E"/>
    <w:rsid w:val="00825760"/>
    <w:rsid w:val="008274DF"/>
    <w:rsid w:val="0083184E"/>
    <w:rsid w:val="008341E3"/>
    <w:rsid w:val="0083563B"/>
    <w:rsid w:val="00836901"/>
    <w:rsid w:val="00837279"/>
    <w:rsid w:val="00841D62"/>
    <w:rsid w:val="00847C3A"/>
    <w:rsid w:val="0085579D"/>
    <w:rsid w:val="008559DB"/>
    <w:rsid w:val="008564AE"/>
    <w:rsid w:val="008600B5"/>
    <w:rsid w:val="008607B9"/>
    <w:rsid w:val="00860E42"/>
    <w:rsid w:val="00860F83"/>
    <w:rsid w:val="0086144C"/>
    <w:rsid w:val="00862008"/>
    <w:rsid w:val="008624A9"/>
    <w:rsid w:val="00862C25"/>
    <w:rsid w:val="00862F1D"/>
    <w:rsid w:val="008649A1"/>
    <w:rsid w:val="008649B7"/>
    <w:rsid w:val="008649C3"/>
    <w:rsid w:val="00865FCE"/>
    <w:rsid w:val="00870C0E"/>
    <w:rsid w:val="00870D51"/>
    <w:rsid w:val="00871895"/>
    <w:rsid w:val="00871940"/>
    <w:rsid w:val="00873A69"/>
    <w:rsid w:val="00874543"/>
    <w:rsid w:val="00875DF9"/>
    <w:rsid w:val="00876C21"/>
    <w:rsid w:val="008777FC"/>
    <w:rsid w:val="00877C0E"/>
    <w:rsid w:val="00877EED"/>
    <w:rsid w:val="00880F7C"/>
    <w:rsid w:val="0088379E"/>
    <w:rsid w:val="00883B47"/>
    <w:rsid w:val="008840AA"/>
    <w:rsid w:val="008844F6"/>
    <w:rsid w:val="008858D3"/>
    <w:rsid w:val="00886FD9"/>
    <w:rsid w:val="008879F3"/>
    <w:rsid w:val="00890302"/>
    <w:rsid w:val="008909D4"/>
    <w:rsid w:val="0089143D"/>
    <w:rsid w:val="0089248B"/>
    <w:rsid w:val="00895501"/>
    <w:rsid w:val="00897A6D"/>
    <w:rsid w:val="008A229A"/>
    <w:rsid w:val="008A2EE7"/>
    <w:rsid w:val="008A3993"/>
    <w:rsid w:val="008A79B8"/>
    <w:rsid w:val="008A7A8D"/>
    <w:rsid w:val="008B07AC"/>
    <w:rsid w:val="008B2C5F"/>
    <w:rsid w:val="008B4C51"/>
    <w:rsid w:val="008B7418"/>
    <w:rsid w:val="008C309F"/>
    <w:rsid w:val="008C3905"/>
    <w:rsid w:val="008C3FB0"/>
    <w:rsid w:val="008C5930"/>
    <w:rsid w:val="008C5A46"/>
    <w:rsid w:val="008C5EC7"/>
    <w:rsid w:val="008C5EFA"/>
    <w:rsid w:val="008C7F9A"/>
    <w:rsid w:val="008D20E8"/>
    <w:rsid w:val="008D4464"/>
    <w:rsid w:val="008D602D"/>
    <w:rsid w:val="008D6BB3"/>
    <w:rsid w:val="008E1160"/>
    <w:rsid w:val="008E2831"/>
    <w:rsid w:val="008E34F7"/>
    <w:rsid w:val="008E3EA1"/>
    <w:rsid w:val="008E6C99"/>
    <w:rsid w:val="008E7A62"/>
    <w:rsid w:val="008E7A98"/>
    <w:rsid w:val="008E7AAE"/>
    <w:rsid w:val="008E7CE3"/>
    <w:rsid w:val="008F0B78"/>
    <w:rsid w:val="008F11B0"/>
    <w:rsid w:val="008F429A"/>
    <w:rsid w:val="008F57F0"/>
    <w:rsid w:val="008F7886"/>
    <w:rsid w:val="00900923"/>
    <w:rsid w:val="009030D8"/>
    <w:rsid w:val="00903A00"/>
    <w:rsid w:val="00904387"/>
    <w:rsid w:val="00905881"/>
    <w:rsid w:val="00905AE6"/>
    <w:rsid w:val="009061EF"/>
    <w:rsid w:val="00906F09"/>
    <w:rsid w:val="00907635"/>
    <w:rsid w:val="00907E8B"/>
    <w:rsid w:val="00910054"/>
    <w:rsid w:val="0091057A"/>
    <w:rsid w:val="00911044"/>
    <w:rsid w:val="00911F8A"/>
    <w:rsid w:val="009122A4"/>
    <w:rsid w:val="0091244E"/>
    <w:rsid w:val="00912B5F"/>
    <w:rsid w:val="00913420"/>
    <w:rsid w:val="00915E8C"/>
    <w:rsid w:val="009167A0"/>
    <w:rsid w:val="00917A66"/>
    <w:rsid w:val="009202CF"/>
    <w:rsid w:val="009207B3"/>
    <w:rsid w:val="009241BE"/>
    <w:rsid w:val="00925C34"/>
    <w:rsid w:val="00926609"/>
    <w:rsid w:val="00927DC4"/>
    <w:rsid w:val="009312F6"/>
    <w:rsid w:val="009319C4"/>
    <w:rsid w:val="0093414A"/>
    <w:rsid w:val="00937EB7"/>
    <w:rsid w:val="00937FD0"/>
    <w:rsid w:val="00940218"/>
    <w:rsid w:val="0094021C"/>
    <w:rsid w:val="00940B23"/>
    <w:rsid w:val="009416E9"/>
    <w:rsid w:val="00941A15"/>
    <w:rsid w:val="00941FD9"/>
    <w:rsid w:val="009429EF"/>
    <w:rsid w:val="0094324A"/>
    <w:rsid w:val="009433A0"/>
    <w:rsid w:val="009476DE"/>
    <w:rsid w:val="00951081"/>
    <w:rsid w:val="0095241D"/>
    <w:rsid w:val="00952681"/>
    <w:rsid w:val="00953C0C"/>
    <w:rsid w:val="00955430"/>
    <w:rsid w:val="0095620D"/>
    <w:rsid w:val="009577E7"/>
    <w:rsid w:val="00960A61"/>
    <w:rsid w:val="00961AFB"/>
    <w:rsid w:val="00963240"/>
    <w:rsid w:val="00963B99"/>
    <w:rsid w:val="00963C4D"/>
    <w:rsid w:val="0096467E"/>
    <w:rsid w:val="00965BA6"/>
    <w:rsid w:val="00967111"/>
    <w:rsid w:val="00967183"/>
    <w:rsid w:val="0097068C"/>
    <w:rsid w:val="00970B76"/>
    <w:rsid w:val="00970C12"/>
    <w:rsid w:val="009711F5"/>
    <w:rsid w:val="0097317D"/>
    <w:rsid w:val="009731D0"/>
    <w:rsid w:val="009764F1"/>
    <w:rsid w:val="00976B62"/>
    <w:rsid w:val="00980911"/>
    <w:rsid w:val="00980ECD"/>
    <w:rsid w:val="009815A7"/>
    <w:rsid w:val="00982586"/>
    <w:rsid w:val="0098332A"/>
    <w:rsid w:val="00983364"/>
    <w:rsid w:val="00983519"/>
    <w:rsid w:val="0098430E"/>
    <w:rsid w:val="00985455"/>
    <w:rsid w:val="00986200"/>
    <w:rsid w:val="009862A8"/>
    <w:rsid w:val="00991619"/>
    <w:rsid w:val="00991677"/>
    <w:rsid w:val="00991FE8"/>
    <w:rsid w:val="009939BB"/>
    <w:rsid w:val="00994103"/>
    <w:rsid w:val="00995380"/>
    <w:rsid w:val="009960F9"/>
    <w:rsid w:val="00996566"/>
    <w:rsid w:val="00996CDF"/>
    <w:rsid w:val="00996E31"/>
    <w:rsid w:val="009A0DEB"/>
    <w:rsid w:val="009A1520"/>
    <w:rsid w:val="009A1C79"/>
    <w:rsid w:val="009A32D5"/>
    <w:rsid w:val="009A521B"/>
    <w:rsid w:val="009A6317"/>
    <w:rsid w:val="009B1395"/>
    <w:rsid w:val="009B180B"/>
    <w:rsid w:val="009B2695"/>
    <w:rsid w:val="009B2FFE"/>
    <w:rsid w:val="009B3592"/>
    <w:rsid w:val="009B3614"/>
    <w:rsid w:val="009B46A1"/>
    <w:rsid w:val="009B5B2A"/>
    <w:rsid w:val="009B5E4C"/>
    <w:rsid w:val="009B6699"/>
    <w:rsid w:val="009B6EA4"/>
    <w:rsid w:val="009B7349"/>
    <w:rsid w:val="009B761A"/>
    <w:rsid w:val="009B7BEA"/>
    <w:rsid w:val="009C1DC9"/>
    <w:rsid w:val="009C25B2"/>
    <w:rsid w:val="009C2653"/>
    <w:rsid w:val="009C43BE"/>
    <w:rsid w:val="009C5033"/>
    <w:rsid w:val="009C5547"/>
    <w:rsid w:val="009C7244"/>
    <w:rsid w:val="009C7789"/>
    <w:rsid w:val="009C7B03"/>
    <w:rsid w:val="009D07F6"/>
    <w:rsid w:val="009D52C9"/>
    <w:rsid w:val="009D5813"/>
    <w:rsid w:val="009D5C66"/>
    <w:rsid w:val="009D5FAA"/>
    <w:rsid w:val="009E0272"/>
    <w:rsid w:val="009E0D4E"/>
    <w:rsid w:val="009E1357"/>
    <w:rsid w:val="009E289C"/>
    <w:rsid w:val="009E2B9E"/>
    <w:rsid w:val="009E56FA"/>
    <w:rsid w:val="009F1613"/>
    <w:rsid w:val="009F1D8C"/>
    <w:rsid w:val="009F1EF6"/>
    <w:rsid w:val="009F4261"/>
    <w:rsid w:val="009F47E9"/>
    <w:rsid w:val="009F49C7"/>
    <w:rsid w:val="009F504F"/>
    <w:rsid w:val="00A00482"/>
    <w:rsid w:val="00A03C84"/>
    <w:rsid w:val="00A03F4A"/>
    <w:rsid w:val="00A0616E"/>
    <w:rsid w:val="00A078E0"/>
    <w:rsid w:val="00A1022D"/>
    <w:rsid w:val="00A12B6F"/>
    <w:rsid w:val="00A13119"/>
    <w:rsid w:val="00A14510"/>
    <w:rsid w:val="00A148BD"/>
    <w:rsid w:val="00A15FBF"/>
    <w:rsid w:val="00A17525"/>
    <w:rsid w:val="00A21AD5"/>
    <w:rsid w:val="00A22DC8"/>
    <w:rsid w:val="00A23A44"/>
    <w:rsid w:val="00A2431C"/>
    <w:rsid w:val="00A24F10"/>
    <w:rsid w:val="00A26171"/>
    <w:rsid w:val="00A26245"/>
    <w:rsid w:val="00A26565"/>
    <w:rsid w:val="00A27DF6"/>
    <w:rsid w:val="00A30EC9"/>
    <w:rsid w:val="00A31630"/>
    <w:rsid w:val="00A31EE4"/>
    <w:rsid w:val="00A325DF"/>
    <w:rsid w:val="00A32C35"/>
    <w:rsid w:val="00A3337F"/>
    <w:rsid w:val="00A33672"/>
    <w:rsid w:val="00A337C3"/>
    <w:rsid w:val="00A34735"/>
    <w:rsid w:val="00A34F67"/>
    <w:rsid w:val="00A35670"/>
    <w:rsid w:val="00A41219"/>
    <w:rsid w:val="00A42B95"/>
    <w:rsid w:val="00A44967"/>
    <w:rsid w:val="00A44FD8"/>
    <w:rsid w:val="00A45474"/>
    <w:rsid w:val="00A46477"/>
    <w:rsid w:val="00A46DDD"/>
    <w:rsid w:val="00A50F31"/>
    <w:rsid w:val="00A54BDA"/>
    <w:rsid w:val="00A54EB0"/>
    <w:rsid w:val="00A55097"/>
    <w:rsid w:val="00A55FDE"/>
    <w:rsid w:val="00A57784"/>
    <w:rsid w:val="00A57B6F"/>
    <w:rsid w:val="00A57BA2"/>
    <w:rsid w:val="00A609B3"/>
    <w:rsid w:val="00A610BF"/>
    <w:rsid w:val="00A642A7"/>
    <w:rsid w:val="00A64B34"/>
    <w:rsid w:val="00A64B56"/>
    <w:rsid w:val="00A66924"/>
    <w:rsid w:val="00A66996"/>
    <w:rsid w:val="00A711B8"/>
    <w:rsid w:val="00A71536"/>
    <w:rsid w:val="00A7280A"/>
    <w:rsid w:val="00A73F5F"/>
    <w:rsid w:val="00A812A7"/>
    <w:rsid w:val="00A85B93"/>
    <w:rsid w:val="00A90913"/>
    <w:rsid w:val="00A91380"/>
    <w:rsid w:val="00A915EA"/>
    <w:rsid w:val="00A923B8"/>
    <w:rsid w:val="00A94EFB"/>
    <w:rsid w:val="00A9750E"/>
    <w:rsid w:val="00AA1962"/>
    <w:rsid w:val="00AA242A"/>
    <w:rsid w:val="00AA2F12"/>
    <w:rsid w:val="00AA2F9A"/>
    <w:rsid w:val="00AA51B7"/>
    <w:rsid w:val="00AA6056"/>
    <w:rsid w:val="00AA65E8"/>
    <w:rsid w:val="00AA6878"/>
    <w:rsid w:val="00AA6E03"/>
    <w:rsid w:val="00AB076D"/>
    <w:rsid w:val="00AB2588"/>
    <w:rsid w:val="00AB4127"/>
    <w:rsid w:val="00AB4361"/>
    <w:rsid w:val="00AB6EB7"/>
    <w:rsid w:val="00AC2E2A"/>
    <w:rsid w:val="00AC380F"/>
    <w:rsid w:val="00AC5B49"/>
    <w:rsid w:val="00AC6548"/>
    <w:rsid w:val="00AC70EC"/>
    <w:rsid w:val="00AD2456"/>
    <w:rsid w:val="00AD319F"/>
    <w:rsid w:val="00AD4A27"/>
    <w:rsid w:val="00AD5364"/>
    <w:rsid w:val="00AD705B"/>
    <w:rsid w:val="00AE0AD8"/>
    <w:rsid w:val="00AE2453"/>
    <w:rsid w:val="00AE24B6"/>
    <w:rsid w:val="00AE38B1"/>
    <w:rsid w:val="00AE46A5"/>
    <w:rsid w:val="00AE6966"/>
    <w:rsid w:val="00AF1190"/>
    <w:rsid w:val="00AF1DD9"/>
    <w:rsid w:val="00AF258D"/>
    <w:rsid w:val="00AF3749"/>
    <w:rsid w:val="00AF4E81"/>
    <w:rsid w:val="00AF61EB"/>
    <w:rsid w:val="00AF6E7C"/>
    <w:rsid w:val="00AF7510"/>
    <w:rsid w:val="00AF7BF1"/>
    <w:rsid w:val="00B00DC4"/>
    <w:rsid w:val="00B0147D"/>
    <w:rsid w:val="00B0157C"/>
    <w:rsid w:val="00B01BA9"/>
    <w:rsid w:val="00B01E09"/>
    <w:rsid w:val="00B01F5F"/>
    <w:rsid w:val="00B032BC"/>
    <w:rsid w:val="00B05F9E"/>
    <w:rsid w:val="00B065DE"/>
    <w:rsid w:val="00B0766A"/>
    <w:rsid w:val="00B07EAA"/>
    <w:rsid w:val="00B07F85"/>
    <w:rsid w:val="00B101C5"/>
    <w:rsid w:val="00B12E65"/>
    <w:rsid w:val="00B13928"/>
    <w:rsid w:val="00B13CF3"/>
    <w:rsid w:val="00B14AAB"/>
    <w:rsid w:val="00B14DF9"/>
    <w:rsid w:val="00B14EB4"/>
    <w:rsid w:val="00B15582"/>
    <w:rsid w:val="00B24B33"/>
    <w:rsid w:val="00B25304"/>
    <w:rsid w:val="00B26213"/>
    <w:rsid w:val="00B26694"/>
    <w:rsid w:val="00B30CE8"/>
    <w:rsid w:val="00B3138C"/>
    <w:rsid w:val="00B31881"/>
    <w:rsid w:val="00B32657"/>
    <w:rsid w:val="00B32DD9"/>
    <w:rsid w:val="00B34D3B"/>
    <w:rsid w:val="00B3683E"/>
    <w:rsid w:val="00B41A9E"/>
    <w:rsid w:val="00B423A5"/>
    <w:rsid w:val="00B42A18"/>
    <w:rsid w:val="00B42C35"/>
    <w:rsid w:val="00B4347F"/>
    <w:rsid w:val="00B43A45"/>
    <w:rsid w:val="00B44226"/>
    <w:rsid w:val="00B44837"/>
    <w:rsid w:val="00B46D93"/>
    <w:rsid w:val="00B4790D"/>
    <w:rsid w:val="00B47BFE"/>
    <w:rsid w:val="00B50530"/>
    <w:rsid w:val="00B50CD6"/>
    <w:rsid w:val="00B5420C"/>
    <w:rsid w:val="00B56360"/>
    <w:rsid w:val="00B569F2"/>
    <w:rsid w:val="00B56F5A"/>
    <w:rsid w:val="00B6092A"/>
    <w:rsid w:val="00B6099D"/>
    <w:rsid w:val="00B617CB"/>
    <w:rsid w:val="00B62297"/>
    <w:rsid w:val="00B634B4"/>
    <w:rsid w:val="00B643A1"/>
    <w:rsid w:val="00B64E55"/>
    <w:rsid w:val="00B71A0B"/>
    <w:rsid w:val="00B71B11"/>
    <w:rsid w:val="00B72465"/>
    <w:rsid w:val="00B72B14"/>
    <w:rsid w:val="00B73BF3"/>
    <w:rsid w:val="00B741CE"/>
    <w:rsid w:val="00B745AB"/>
    <w:rsid w:val="00B7603A"/>
    <w:rsid w:val="00B77580"/>
    <w:rsid w:val="00B842A4"/>
    <w:rsid w:val="00B854FE"/>
    <w:rsid w:val="00B920E2"/>
    <w:rsid w:val="00B94AAC"/>
    <w:rsid w:val="00B965F5"/>
    <w:rsid w:val="00BA098F"/>
    <w:rsid w:val="00BA1074"/>
    <w:rsid w:val="00BA417E"/>
    <w:rsid w:val="00BA4CA4"/>
    <w:rsid w:val="00BA6C5C"/>
    <w:rsid w:val="00BA7828"/>
    <w:rsid w:val="00BB1AEE"/>
    <w:rsid w:val="00BB242F"/>
    <w:rsid w:val="00BB2865"/>
    <w:rsid w:val="00BB2A96"/>
    <w:rsid w:val="00BB31A9"/>
    <w:rsid w:val="00BB6B22"/>
    <w:rsid w:val="00BB6E2A"/>
    <w:rsid w:val="00BB75B6"/>
    <w:rsid w:val="00BB79E8"/>
    <w:rsid w:val="00BB7FE9"/>
    <w:rsid w:val="00BC10B6"/>
    <w:rsid w:val="00BC114F"/>
    <w:rsid w:val="00BC1903"/>
    <w:rsid w:val="00BC1D24"/>
    <w:rsid w:val="00BC2436"/>
    <w:rsid w:val="00BC4EEE"/>
    <w:rsid w:val="00BC5629"/>
    <w:rsid w:val="00BC5EE2"/>
    <w:rsid w:val="00BC7AB2"/>
    <w:rsid w:val="00BD1CF4"/>
    <w:rsid w:val="00BD1F80"/>
    <w:rsid w:val="00BD2822"/>
    <w:rsid w:val="00BD44C2"/>
    <w:rsid w:val="00BD504A"/>
    <w:rsid w:val="00BD53D9"/>
    <w:rsid w:val="00BD5846"/>
    <w:rsid w:val="00BD5ADE"/>
    <w:rsid w:val="00BD6AB4"/>
    <w:rsid w:val="00BE030F"/>
    <w:rsid w:val="00BE03A9"/>
    <w:rsid w:val="00BE4665"/>
    <w:rsid w:val="00BE4D56"/>
    <w:rsid w:val="00BE52ED"/>
    <w:rsid w:val="00BE61DA"/>
    <w:rsid w:val="00BE69DF"/>
    <w:rsid w:val="00BF166C"/>
    <w:rsid w:val="00BF167A"/>
    <w:rsid w:val="00BF2FE7"/>
    <w:rsid w:val="00BF4A3C"/>
    <w:rsid w:val="00BF5B89"/>
    <w:rsid w:val="00C006EF"/>
    <w:rsid w:val="00C013FA"/>
    <w:rsid w:val="00C01CE3"/>
    <w:rsid w:val="00C04B70"/>
    <w:rsid w:val="00C04CA0"/>
    <w:rsid w:val="00C05C6A"/>
    <w:rsid w:val="00C05F66"/>
    <w:rsid w:val="00C072E8"/>
    <w:rsid w:val="00C11F79"/>
    <w:rsid w:val="00C133C8"/>
    <w:rsid w:val="00C13669"/>
    <w:rsid w:val="00C160DD"/>
    <w:rsid w:val="00C165E7"/>
    <w:rsid w:val="00C16B1A"/>
    <w:rsid w:val="00C17399"/>
    <w:rsid w:val="00C22C08"/>
    <w:rsid w:val="00C242B9"/>
    <w:rsid w:val="00C267DB"/>
    <w:rsid w:val="00C300F1"/>
    <w:rsid w:val="00C3033F"/>
    <w:rsid w:val="00C32805"/>
    <w:rsid w:val="00C32F3E"/>
    <w:rsid w:val="00C33159"/>
    <w:rsid w:val="00C33731"/>
    <w:rsid w:val="00C339E8"/>
    <w:rsid w:val="00C3557E"/>
    <w:rsid w:val="00C35648"/>
    <w:rsid w:val="00C36778"/>
    <w:rsid w:val="00C36C8A"/>
    <w:rsid w:val="00C406E4"/>
    <w:rsid w:val="00C41524"/>
    <w:rsid w:val="00C41AA2"/>
    <w:rsid w:val="00C41CFB"/>
    <w:rsid w:val="00C44DA7"/>
    <w:rsid w:val="00C44DD1"/>
    <w:rsid w:val="00C44EF2"/>
    <w:rsid w:val="00C458BB"/>
    <w:rsid w:val="00C4794C"/>
    <w:rsid w:val="00C510A0"/>
    <w:rsid w:val="00C51E61"/>
    <w:rsid w:val="00C520C3"/>
    <w:rsid w:val="00C525CB"/>
    <w:rsid w:val="00C53442"/>
    <w:rsid w:val="00C53F63"/>
    <w:rsid w:val="00C5626D"/>
    <w:rsid w:val="00C56C73"/>
    <w:rsid w:val="00C612E0"/>
    <w:rsid w:val="00C61743"/>
    <w:rsid w:val="00C62B75"/>
    <w:rsid w:val="00C62E06"/>
    <w:rsid w:val="00C62E7C"/>
    <w:rsid w:val="00C641B8"/>
    <w:rsid w:val="00C64443"/>
    <w:rsid w:val="00C65C80"/>
    <w:rsid w:val="00C67484"/>
    <w:rsid w:val="00C709C6"/>
    <w:rsid w:val="00C721A3"/>
    <w:rsid w:val="00C72C3A"/>
    <w:rsid w:val="00C7378D"/>
    <w:rsid w:val="00C74DD9"/>
    <w:rsid w:val="00C76E1A"/>
    <w:rsid w:val="00C7759F"/>
    <w:rsid w:val="00C777F5"/>
    <w:rsid w:val="00C77BF6"/>
    <w:rsid w:val="00C80149"/>
    <w:rsid w:val="00C803C2"/>
    <w:rsid w:val="00C80738"/>
    <w:rsid w:val="00C80CB9"/>
    <w:rsid w:val="00C80E22"/>
    <w:rsid w:val="00C80FBA"/>
    <w:rsid w:val="00C814B7"/>
    <w:rsid w:val="00C81940"/>
    <w:rsid w:val="00C825D1"/>
    <w:rsid w:val="00C8330B"/>
    <w:rsid w:val="00C8378C"/>
    <w:rsid w:val="00C8487C"/>
    <w:rsid w:val="00C84B33"/>
    <w:rsid w:val="00C877D7"/>
    <w:rsid w:val="00C90AC8"/>
    <w:rsid w:val="00C912D0"/>
    <w:rsid w:val="00C91422"/>
    <w:rsid w:val="00C92907"/>
    <w:rsid w:val="00C92A05"/>
    <w:rsid w:val="00CA033B"/>
    <w:rsid w:val="00CA3302"/>
    <w:rsid w:val="00CA4EE5"/>
    <w:rsid w:val="00CA4FDC"/>
    <w:rsid w:val="00CA71AF"/>
    <w:rsid w:val="00CB07C2"/>
    <w:rsid w:val="00CB0E73"/>
    <w:rsid w:val="00CB2568"/>
    <w:rsid w:val="00CB263F"/>
    <w:rsid w:val="00CB2700"/>
    <w:rsid w:val="00CB4D05"/>
    <w:rsid w:val="00CB5640"/>
    <w:rsid w:val="00CB6481"/>
    <w:rsid w:val="00CB6A08"/>
    <w:rsid w:val="00CB74B8"/>
    <w:rsid w:val="00CB7FCE"/>
    <w:rsid w:val="00CC704B"/>
    <w:rsid w:val="00CD0AE3"/>
    <w:rsid w:val="00CD1204"/>
    <w:rsid w:val="00CD1B5A"/>
    <w:rsid w:val="00CD1F33"/>
    <w:rsid w:val="00CD2D08"/>
    <w:rsid w:val="00CD2E61"/>
    <w:rsid w:val="00CD3324"/>
    <w:rsid w:val="00CD4865"/>
    <w:rsid w:val="00CD52C1"/>
    <w:rsid w:val="00CD6735"/>
    <w:rsid w:val="00CD72E3"/>
    <w:rsid w:val="00CE106F"/>
    <w:rsid w:val="00CE1217"/>
    <w:rsid w:val="00CE1A91"/>
    <w:rsid w:val="00CE2DA4"/>
    <w:rsid w:val="00CE3B16"/>
    <w:rsid w:val="00CE3E04"/>
    <w:rsid w:val="00CE5877"/>
    <w:rsid w:val="00CE5BCE"/>
    <w:rsid w:val="00CE6114"/>
    <w:rsid w:val="00CE7117"/>
    <w:rsid w:val="00CF3CBD"/>
    <w:rsid w:val="00CF3F1A"/>
    <w:rsid w:val="00CF4A08"/>
    <w:rsid w:val="00CF5826"/>
    <w:rsid w:val="00CF63DC"/>
    <w:rsid w:val="00D006BA"/>
    <w:rsid w:val="00D03767"/>
    <w:rsid w:val="00D04CF2"/>
    <w:rsid w:val="00D05D56"/>
    <w:rsid w:val="00D06018"/>
    <w:rsid w:val="00D075DC"/>
    <w:rsid w:val="00D07659"/>
    <w:rsid w:val="00D103A8"/>
    <w:rsid w:val="00D10583"/>
    <w:rsid w:val="00D109A6"/>
    <w:rsid w:val="00D112D9"/>
    <w:rsid w:val="00D1174B"/>
    <w:rsid w:val="00D11A81"/>
    <w:rsid w:val="00D149D5"/>
    <w:rsid w:val="00D15347"/>
    <w:rsid w:val="00D211D0"/>
    <w:rsid w:val="00D21E11"/>
    <w:rsid w:val="00D23906"/>
    <w:rsid w:val="00D2397C"/>
    <w:rsid w:val="00D245F1"/>
    <w:rsid w:val="00D25F99"/>
    <w:rsid w:val="00D26D25"/>
    <w:rsid w:val="00D30490"/>
    <w:rsid w:val="00D323F7"/>
    <w:rsid w:val="00D32DED"/>
    <w:rsid w:val="00D3413D"/>
    <w:rsid w:val="00D34CE9"/>
    <w:rsid w:val="00D34D33"/>
    <w:rsid w:val="00D354AA"/>
    <w:rsid w:val="00D35DF7"/>
    <w:rsid w:val="00D36F02"/>
    <w:rsid w:val="00D37243"/>
    <w:rsid w:val="00D3768D"/>
    <w:rsid w:val="00D379FF"/>
    <w:rsid w:val="00D41402"/>
    <w:rsid w:val="00D43966"/>
    <w:rsid w:val="00D44B28"/>
    <w:rsid w:val="00D4506A"/>
    <w:rsid w:val="00D45072"/>
    <w:rsid w:val="00D4512E"/>
    <w:rsid w:val="00D459F0"/>
    <w:rsid w:val="00D45DCD"/>
    <w:rsid w:val="00D45EA2"/>
    <w:rsid w:val="00D476ED"/>
    <w:rsid w:val="00D53A29"/>
    <w:rsid w:val="00D53C4A"/>
    <w:rsid w:val="00D53E10"/>
    <w:rsid w:val="00D54EE5"/>
    <w:rsid w:val="00D5564B"/>
    <w:rsid w:val="00D55F79"/>
    <w:rsid w:val="00D5627B"/>
    <w:rsid w:val="00D563D3"/>
    <w:rsid w:val="00D60D07"/>
    <w:rsid w:val="00D61227"/>
    <w:rsid w:val="00D61EA2"/>
    <w:rsid w:val="00D64441"/>
    <w:rsid w:val="00D64AD1"/>
    <w:rsid w:val="00D65B10"/>
    <w:rsid w:val="00D671B3"/>
    <w:rsid w:val="00D674C7"/>
    <w:rsid w:val="00D7012D"/>
    <w:rsid w:val="00D7138F"/>
    <w:rsid w:val="00D71472"/>
    <w:rsid w:val="00D714C6"/>
    <w:rsid w:val="00D71D3D"/>
    <w:rsid w:val="00D737EE"/>
    <w:rsid w:val="00D7386C"/>
    <w:rsid w:val="00D740F3"/>
    <w:rsid w:val="00D749D7"/>
    <w:rsid w:val="00D750FC"/>
    <w:rsid w:val="00D76E70"/>
    <w:rsid w:val="00D80281"/>
    <w:rsid w:val="00D80963"/>
    <w:rsid w:val="00D8126E"/>
    <w:rsid w:val="00D81E63"/>
    <w:rsid w:val="00D831C9"/>
    <w:rsid w:val="00D836C2"/>
    <w:rsid w:val="00D83FF1"/>
    <w:rsid w:val="00D84F74"/>
    <w:rsid w:val="00D8622E"/>
    <w:rsid w:val="00D902DF"/>
    <w:rsid w:val="00D91455"/>
    <w:rsid w:val="00D9149E"/>
    <w:rsid w:val="00D914E5"/>
    <w:rsid w:val="00D95B47"/>
    <w:rsid w:val="00D95F27"/>
    <w:rsid w:val="00D9656F"/>
    <w:rsid w:val="00D96D8D"/>
    <w:rsid w:val="00D96EA9"/>
    <w:rsid w:val="00D96FA3"/>
    <w:rsid w:val="00D971D4"/>
    <w:rsid w:val="00D97A40"/>
    <w:rsid w:val="00DA3A02"/>
    <w:rsid w:val="00DA3F3E"/>
    <w:rsid w:val="00DA4A9E"/>
    <w:rsid w:val="00DA6868"/>
    <w:rsid w:val="00DB12E4"/>
    <w:rsid w:val="00DB539B"/>
    <w:rsid w:val="00DB5485"/>
    <w:rsid w:val="00DC1EAD"/>
    <w:rsid w:val="00DC2D54"/>
    <w:rsid w:val="00DC37C7"/>
    <w:rsid w:val="00DC4146"/>
    <w:rsid w:val="00DC5ED6"/>
    <w:rsid w:val="00DC66D7"/>
    <w:rsid w:val="00DC6A32"/>
    <w:rsid w:val="00DD07F4"/>
    <w:rsid w:val="00DD0BA8"/>
    <w:rsid w:val="00DD1C56"/>
    <w:rsid w:val="00DD1ED8"/>
    <w:rsid w:val="00DD4B0B"/>
    <w:rsid w:val="00DD60F9"/>
    <w:rsid w:val="00DD6354"/>
    <w:rsid w:val="00DD775B"/>
    <w:rsid w:val="00DE18A4"/>
    <w:rsid w:val="00DE300E"/>
    <w:rsid w:val="00DE3142"/>
    <w:rsid w:val="00DE5F1A"/>
    <w:rsid w:val="00DE6355"/>
    <w:rsid w:val="00DE6B2D"/>
    <w:rsid w:val="00DE6CEA"/>
    <w:rsid w:val="00DE741A"/>
    <w:rsid w:val="00DF4248"/>
    <w:rsid w:val="00DF4E0F"/>
    <w:rsid w:val="00DF57F6"/>
    <w:rsid w:val="00DF5AA7"/>
    <w:rsid w:val="00DF5E70"/>
    <w:rsid w:val="00DF7E11"/>
    <w:rsid w:val="00E06B43"/>
    <w:rsid w:val="00E10F21"/>
    <w:rsid w:val="00E11A66"/>
    <w:rsid w:val="00E11AE2"/>
    <w:rsid w:val="00E1255D"/>
    <w:rsid w:val="00E12831"/>
    <w:rsid w:val="00E16156"/>
    <w:rsid w:val="00E16660"/>
    <w:rsid w:val="00E1704D"/>
    <w:rsid w:val="00E212F6"/>
    <w:rsid w:val="00E23FBC"/>
    <w:rsid w:val="00E241E7"/>
    <w:rsid w:val="00E2447E"/>
    <w:rsid w:val="00E275CD"/>
    <w:rsid w:val="00E30AB5"/>
    <w:rsid w:val="00E31F73"/>
    <w:rsid w:val="00E325D0"/>
    <w:rsid w:val="00E34ABF"/>
    <w:rsid w:val="00E35FFD"/>
    <w:rsid w:val="00E36873"/>
    <w:rsid w:val="00E3794E"/>
    <w:rsid w:val="00E37B94"/>
    <w:rsid w:val="00E40A17"/>
    <w:rsid w:val="00E40E50"/>
    <w:rsid w:val="00E42F42"/>
    <w:rsid w:val="00E436DF"/>
    <w:rsid w:val="00E43C81"/>
    <w:rsid w:val="00E444C0"/>
    <w:rsid w:val="00E45270"/>
    <w:rsid w:val="00E505E8"/>
    <w:rsid w:val="00E50A76"/>
    <w:rsid w:val="00E50D25"/>
    <w:rsid w:val="00E51703"/>
    <w:rsid w:val="00E51BEE"/>
    <w:rsid w:val="00E52990"/>
    <w:rsid w:val="00E5329B"/>
    <w:rsid w:val="00E55B2D"/>
    <w:rsid w:val="00E5731E"/>
    <w:rsid w:val="00E60498"/>
    <w:rsid w:val="00E60793"/>
    <w:rsid w:val="00E62B86"/>
    <w:rsid w:val="00E65FE1"/>
    <w:rsid w:val="00E70FD9"/>
    <w:rsid w:val="00E7120D"/>
    <w:rsid w:val="00E71C3F"/>
    <w:rsid w:val="00E7223B"/>
    <w:rsid w:val="00E73311"/>
    <w:rsid w:val="00E73B82"/>
    <w:rsid w:val="00E74931"/>
    <w:rsid w:val="00E75482"/>
    <w:rsid w:val="00E8024B"/>
    <w:rsid w:val="00E844C7"/>
    <w:rsid w:val="00E855E4"/>
    <w:rsid w:val="00E85692"/>
    <w:rsid w:val="00E85ABC"/>
    <w:rsid w:val="00E863F5"/>
    <w:rsid w:val="00E9042F"/>
    <w:rsid w:val="00E90DED"/>
    <w:rsid w:val="00E9135A"/>
    <w:rsid w:val="00E913D2"/>
    <w:rsid w:val="00E9272F"/>
    <w:rsid w:val="00E929EA"/>
    <w:rsid w:val="00E931BA"/>
    <w:rsid w:val="00E9466D"/>
    <w:rsid w:val="00E95243"/>
    <w:rsid w:val="00E95F0E"/>
    <w:rsid w:val="00E97543"/>
    <w:rsid w:val="00E97DE5"/>
    <w:rsid w:val="00EA0091"/>
    <w:rsid w:val="00EA0CAE"/>
    <w:rsid w:val="00EA41BE"/>
    <w:rsid w:val="00EA46AF"/>
    <w:rsid w:val="00EA5015"/>
    <w:rsid w:val="00EA5766"/>
    <w:rsid w:val="00EA7AE6"/>
    <w:rsid w:val="00EB2394"/>
    <w:rsid w:val="00EB3AE4"/>
    <w:rsid w:val="00EB60D4"/>
    <w:rsid w:val="00EB6619"/>
    <w:rsid w:val="00EB6B23"/>
    <w:rsid w:val="00EB7B6A"/>
    <w:rsid w:val="00EB7F63"/>
    <w:rsid w:val="00EC0DF4"/>
    <w:rsid w:val="00EC2277"/>
    <w:rsid w:val="00EC22BD"/>
    <w:rsid w:val="00EC2579"/>
    <w:rsid w:val="00ED014D"/>
    <w:rsid w:val="00ED04F2"/>
    <w:rsid w:val="00ED1413"/>
    <w:rsid w:val="00ED15F2"/>
    <w:rsid w:val="00ED1C66"/>
    <w:rsid w:val="00ED2E5F"/>
    <w:rsid w:val="00ED3E5C"/>
    <w:rsid w:val="00ED43F9"/>
    <w:rsid w:val="00ED5A5F"/>
    <w:rsid w:val="00ED6F9D"/>
    <w:rsid w:val="00EE251F"/>
    <w:rsid w:val="00EF0789"/>
    <w:rsid w:val="00EF1AE6"/>
    <w:rsid w:val="00EF2999"/>
    <w:rsid w:val="00EF2BD9"/>
    <w:rsid w:val="00EF360A"/>
    <w:rsid w:val="00EF542C"/>
    <w:rsid w:val="00EF5805"/>
    <w:rsid w:val="00EF6B60"/>
    <w:rsid w:val="00F00A0A"/>
    <w:rsid w:val="00F02114"/>
    <w:rsid w:val="00F037CA"/>
    <w:rsid w:val="00F046FE"/>
    <w:rsid w:val="00F04C79"/>
    <w:rsid w:val="00F04ECD"/>
    <w:rsid w:val="00F051DA"/>
    <w:rsid w:val="00F05466"/>
    <w:rsid w:val="00F058AF"/>
    <w:rsid w:val="00F06337"/>
    <w:rsid w:val="00F10A88"/>
    <w:rsid w:val="00F10D9A"/>
    <w:rsid w:val="00F10DB2"/>
    <w:rsid w:val="00F12BE4"/>
    <w:rsid w:val="00F13158"/>
    <w:rsid w:val="00F13EE7"/>
    <w:rsid w:val="00F13FCC"/>
    <w:rsid w:val="00F140D9"/>
    <w:rsid w:val="00F1435F"/>
    <w:rsid w:val="00F145C1"/>
    <w:rsid w:val="00F15E05"/>
    <w:rsid w:val="00F20E42"/>
    <w:rsid w:val="00F2177B"/>
    <w:rsid w:val="00F242DA"/>
    <w:rsid w:val="00F248BE"/>
    <w:rsid w:val="00F25405"/>
    <w:rsid w:val="00F26D2D"/>
    <w:rsid w:val="00F26EDA"/>
    <w:rsid w:val="00F27F4A"/>
    <w:rsid w:val="00F3134D"/>
    <w:rsid w:val="00F31B58"/>
    <w:rsid w:val="00F33B9A"/>
    <w:rsid w:val="00F35A7D"/>
    <w:rsid w:val="00F36D23"/>
    <w:rsid w:val="00F37ED4"/>
    <w:rsid w:val="00F40065"/>
    <w:rsid w:val="00F40524"/>
    <w:rsid w:val="00F40BF9"/>
    <w:rsid w:val="00F414A6"/>
    <w:rsid w:val="00F420A3"/>
    <w:rsid w:val="00F44AA0"/>
    <w:rsid w:val="00F44DBB"/>
    <w:rsid w:val="00F4514E"/>
    <w:rsid w:val="00F45D77"/>
    <w:rsid w:val="00F4703B"/>
    <w:rsid w:val="00F55078"/>
    <w:rsid w:val="00F55485"/>
    <w:rsid w:val="00F57CC8"/>
    <w:rsid w:val="00F57E68"/>
    <w:rsid w:val="00F6010C"/>
    <w:rsid w:val="00F6076F"/>
    <w:rsid w:val="00F61D1F"/>
    <w:rsid w:val="00F63A33"/>
    <w:rsid w:val="00F6535D"/>
    <w:rsid w:val="00F65A20"/>
    <w:rsid w:val="00F65D66"/>
    <w:rsid w:val="00F670BF"/>
    <w:rsid w:val="00F70309"/>
    <w:rsid w:val="00F70AC2"/>
    <w:rsid w:val="00F72E54"/>
    <w:rsid w:val="00F74263"/>
    <w:rsid w:val="00F746E6"/>
    <w:rsid w:val="00F755F4"/>
    <w:rsid w:val="00F757E4"/>
    <w:rsid w:val="00F75819"/>
    <w:rsid w:val="00F75F53"/>
    <w:rsid w:val="00F7658C"/>
    <w:rsid w:val="00F766D0"/>
    <w:rsid w:val="00F80411"/>
    <w:rsid w:val="00F80508"/>
    <w:rsid w:val="00F82851"/>
    <w:rsid w:val="00F838F2"/>
    <w:rsid w:val="00F907D5"/>
    <w:rsid w:val="00F914FE"/>
    <w:rsid w:val="00F92AB9"/>
    <w:rsid w:val="00F92E3C"/>
    <w:rsid w:val="00F92F09"/>
    <w:rsid w:val="00F9548C"/>
    <w:rsid w:val="00FA0144"/>
    <w:rsid w:val="00FA0AB7"/>
    <w:rsid w:val="00FA0B6D"/>
    <w:rsid w:val="00FA274B"/>
    <w:rsid w:val="00FA2E1F"/>
    <w:rsid w:val="00FA36AA"/>
    <w:rsid w:val="00FA6B63"/>
    <w:rsid w:val="00FB33A7"/>
    <w:rsid w:val="00FB33D9"/>
    <w:rsid w:val="00FB5040"/>
    <w:rsid w:val="00FB5457"/>
    <w:rsid w:val="00FC0243"/>
    <w:rsid w:val="00FC0A4C"/>
    <w:rsid w:val="00FC0F2B"/>
    <w:rsid w:val="00FC31ED"/>
    <w:rsid w:val="00FC3B4C"/>
    <w:rsid w:val="00FC55A9"/>
    <w:rsid w:val="00FC5835"/>
    <w:rsid w:val="00FC6C58"/>
    <w:rsid w:val="00FD1188"/>
    <w:rsid w:val="00FD1361"/>
    <w:rsid w:val="00FD3BEF"/>
    <w:rsid w:val="00FD43B6"/>
    <w:rsid w:val="00FD4446"/>
    <w:rsid w:val="00FD70EF"/>
    <w:rsid w:val="00FD77AF"/>
    <w:rsid w:val="00FD7DC7"/>
    <w:rsid w:val="00FD7F9B"/>
    <w:rsid w:val="00FE0464"/>
    <w:rsid w:val="00FE1E0D"/>
    <w:rsid w:val="00FE2D0D"/>
    <w:rsid w:val="00FE3445"/>
    <w:rsid w:val="00FE378A"/>
    <w:rsid w:val="00FE45A8"/>
    <w:rsid w:val="00FE528D"/>
    <w:rsid w:val="00FE53A4"/>
    <w:rsid w:val="00FE5C2D"/>
    <w:rsid w:val="00FE6049"/>
    <w:rsid w:val="00FE624A"/>
    <w:rsid w:val="00FE6D7C"/>
    <w:rsid w:val="00FE76BA"/>
    <w:rsid w:val="00FF08C5"/>
    <w:rsid w:val="00FF1568"/>
    <w:rsid w:val="00FF17AA"/>
    <w:rsid w:val="00FF1A39"/>
    <w:rsid w:val="00FF363B"/>
    <w:rsid w:val="00FF3B7B"/>
    <w:rsid w:val="00FF745E"/>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751A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93BD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9248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751A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751A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751A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751A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751A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751A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1A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93BD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507DDA"/>
    <w:pPr>
      <w:ind w:left="720"/>
      <w:contextualSpacing/>
    </w:pPr>
  </w:style>
  <w:style w:type="paragraph" w:styleId="Notedebasdepage">
    <w:name w:val="footnote text"/>
    <w:aliases w:val="Footnote Text Char"/>
    <w:basedOn w:val="Normal"/>
    <w:link w:val="NotedebasdepageCar"/>
    <w:uiPriority w:val="99"/>
    <w:rsid w:val="00982586"/>
    <w:pPr>
      <w:spacing w:after="0" w:line="240" w:lineRule="auto"/>
      <w:jc w:val="both"/>
    </w:pPr>
    <w:rPr>
      <w:rFonts w:ascii="Times New Roman" w:eastAsia="Times New Roman" w:hAnsi="Times New Roman" w:cs="Times New Roman"/>
      <w:sz w:val="20"/>
      <w:szCs w:val="20"/>
      <w:lang w:val="en-GB" w:eastAsia="en-GB"/>
    </w:rPr>
  </w:style>
  <w:style w:type="character" w:customStyle="1" w:styleId="NotedebasdepageCar">
    <w:name w:val="Note de bas de page Car"/>
    <w:aliases w:val="Footnote Text Char Car"/>
    <w:basedOn w:val="Policepardfaut"/>
    <w:link w:val="Notedebasdepage"/>
    <w:uiPriority w:val="99"/>
    <w:qFormat/>
    <w:rsid w:val="00982586"/>
    <w:rPr>
      <w:rFonts w:ascii="Times New Roman" w:eastAsia="Times New Roman" w:hAnsi="Times New Roman" w:cs="Times New Roman"/>
      <w:sz w:val="20"/>
      <w:szCs w:val="20"/>
      <w:lang w:val="en-GB" w:eastAsia="en-GB"/>
    </w:rPr>
  </w:style>
  <w:style w:type="character" w:styleId="Appelnotedebasdep">
    <w:name w:val="footnote reference"/>
    <w:basedOn w:val="Policepardfaut"/>
    <w:uiPriority w:val="99"/>
    <w:semiHidden/>
    <w:rsid w:val="00982586"/>
    <w:rPr>
      <w:rFonts w:cs="Times New Roman"/>
      <w:vertAlign w:val="superscript"/>
    </w:rPr>
  </w:style>
  <w:style w:type="character" w:customStyle="1" w:styleId="Titre3Car">
    <w:name w:val="Titre 3 Car"/>
    <w:basedOn w:val="Policepardfaut"/>
    <w:link w:val="Titre3"/>
    <w:uiPriority w:val="9"/>
    <w:rsid w:val="0089248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751A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751A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751A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751A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751A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751A5"/>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2B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388C"/>
    <w:pPr>
      <w:tabs>
        <w:tab w:val="center" w:pos="4703"/>
        <w:tab w:val="right" w:pos="9406"/>
      </w:tabs>
      <w:spacing w:after="0" w:line="240" w:lineRule="auto"/>
    </w:pPr>
  </w:style>
  <w:style w:type="character" w:customStyle="1" w:styleId="En-tteCar">
    <w:name w:val="En-tête Car"/>
    <w:basedOn w:val="Policepardfaut"/>
    <w:link w:val="En-tte"/>
    <w:uiPriority w:val="99"/>
    <w:rsid w:val="0019388C"/>
  </w:style>
  <w:style w:type="paragraph" w:styleId="Pieddepage">
    <w:name w:val="footer"/>
    <w:basedOn w:val="Normal"/>
    <w:link w:val="PieddepageCar"/>
    <w:uiPriority w:val="99"/>
    <w:unhideWhenUsed/>
    <w:rsid w:val="0019388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9388C"/>
  </w:style>
  <w:style w:type="character" w:styleId="Lienhypertexte">
    <w:name w:val="Hyperlink"/>
    <w:basedOn w:val="Policepardfaut"/>
    <w:uiPriority w:val="99"/>
    <w:unhideWhenUsed/>
    <w:rsid w:val="00B0157C"/>
    <w:rPr>
      <w:color w:val="0000FF" w:themeColor="hyperlink"/>
      <w:u w:val="single"/>
    </w:rPr>
  </w:style>
  <w:style w:type="paragraph" w:styleId="Textedebulles">
    <w:name w:val="Balloon Text"/>
    <w:basedOn w:val="Normal"/>
    <w:link w:val="TextedebullesCar"/>
    <w:uiPriority w:val="99"/>
    <w:semiHidden/>
    <w:unhideWhenUsed/>
    <w:rsid w:val="003735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30"/>
    <w:rPr>
      <w:rFonts w:ascii="Tahoma" w:hAnsi="Tahoma" w:cs="Tahoma"/>
      <w:sz w:val="16"/>
      <w:szCs w:val="16"/>
    </w:rPr>
  </w:style>
  <w:style w:type="paragraph" w:styleId="Lgende">
    <w:name w:val="caption"/>
    <w:aliases w:val="ADEME Légende"/>
    <w:basedOn w:val="Normal"/>
    <w:next w:val="Normal"/>
    <w:link w:val="LgendeCar"/>
    <w:unhideWhenUsed/>
    <w:qFormat/>
    <w:rsid w:val="00373530"/>
    <w:pPr>
      <w:spacing w:line="240" w:lineRule="auto"/>
    </w:pPr>
    <w:rPr>
      <w:b/>
      <w:bCs/>
      <w:color w:val="4F81BD" w:themeColor="accent1"/>
      <w:sz w:val="18"/>
      <w:szCs w:val="18"/>
    </w:rPr>
  </w:style>
  <w:style w:type="paragraph" w:styleId="Corpsdetexte">
    <w:name w:val="Body Text"/>
    <w:basedOn w:val="Normal"/>
    <w:link w:val="CorpsdetexteCar"/>
    <w:rsid w:val="00873A69"/>
    <w:pPr>
      <w:spacing w:after="140" w:line="288" w:lineRule="auto"/>
    </w:pPr>
    <w:rPr>
      <w:color w:val="00000A"/>
    </w:rPr>
  </w:style>
  <w:style w:type="character" w:customStyle="1" w:styleId="CorpsdetexteCar">
    <w:name w:val="Corps de texte Car"/>
    <w:basedOn w:val="Policepardfaut"/>
    <w:link w:val="Corpsdetexte"/>
    <w:rsid w:val="00873A69"/>
    <w:rPr>
      <w:color w:val="00000A"/>
    </w:rPr>
  </w:style>
  <w:style w:type="paragraph" w:styleId="NormalWeb">
    <w:name w:val="Normal (Web)"/>
    <w:basedOn w:val="Normal"/>
    <w:uiPriority w:val="99"/>
    <w:unhideWhenUsed/>
    <w:rsid w:val="0088379E"/>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D10583"/>
    <w:rPr>
      <w:sz w:val="16"/>
      <w:szCs w:val="16"/>
    </w:rPr>
  </w:style>
  <w:style w:type="paragraph" w:styleId="Commentaire">
    <w:name w:val="annotation text"/>
    <w:basedOn w:val="Normal"/>
    <w:link w:val="CommentaireCar"/>
    <w:uiPriority w:val="99"/>
    <w:semiHidden/>
    <w:unhideWhenUsed/>
    <w:rsid w:val="00D10583"/>
    <w:pPr>
      <w:spacing w:line="240" w:lineRule="auto"/>
    </w:pPr>
    <w:rPr>
      <w:sz w:val="20"/>
      <w:szCs w:val="20"/>
    </w:rPr>
  </w:style>
  <w:style w:type="character" w:customStyle="1" w:styleId="CommentaireCar">
    <w:name w:val="Commentaire Car"/>
    <w:basedOn w:val="Policepardfaut"/>
    <w:link w:val="Commentaire"/>
    <w:uiPriority w:val="99"/>
    <w:semiHidden/>
    <w:rsid w:val="00D10583"/>
    <w:rPr>
      <w:sz w:val="20"/>
      <w:szCs w:val="20"/>
    </w:rPr>
  </w:style>
  <w:style w:type="paragraph" w:styleId="Objetducommentaire">
    <w:name w:val="annotation subject"/>
    <w:basedOn w:val="Commentaire"/>
    <w:next w:val="Commentaire"/>
    <w:link w:val="ObjetducommentaireCar"/>
    <w:uiPriority w:val="99"/>
    <w:semiHidden/>
    <w:unhideWhenUsed/>
    <w:rsid w:val="00D10583"/>
    <w:rPr>
      <w:b/>
      <w:bCs/>
    </w:rPr>
  </w:style>
  <w:style w:type="character" w:customStyle="1" w:styleId="ObjetducommentaireCar">
    <w:name w:val="Objet du commentaire Car"/>
    <w:basedOn w:val="CommentaireCar"/>
    <w:link w:val="Objetducommentaire"/>
    <w:uiPriority w:val="99"/>
    <w:semiHidden/>
    <w:rsid w:val="00D10583"/>
    <w:rPr>
      <w:b/>
      <w:bCs/>
      <w:sz w:val="20"/>
      <w:szCs w:val="20"/>
    </w:rPr>
  </w:style>
  <w:style w:type="paragraph" w:styleId="En-ttedetabledesmatires">
    <w:name w:val="TOC Heading"/>
    <w:basedOn w:val="Titre1"/>
    <w:next w:val="Normal"/>
    <w:uiPriority w:val="39"/>
    <w:semiHidden/>
    <w:unhideWhenUsed/>
    <w:qFormat/>
    <w:rsid w:val="001F20B6"/>
    <w:pPr>
      <w:numPr>
        <w:numId w:val="0"/>
      </w:numPr>
      <w:jc w:val="both"/>
      <w:outlineLvl w:val="9"/>
    </w:pPr>
  </w:style>
  <w:style w:type="character" w:customStyle="1" w:styleId="LgendeCar">
    <w:name w:val="Légende Car"/>
    <w:aliases w:val="ADEME Légende Car"/>
    <w:link w:val="Lgende"/>
    <w:rsid w:val="001F20B6"/>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751A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93BD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9248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751A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751A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751A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751A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751A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751A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1A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93BD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507DDA"/>
    <w:pPr>
      <w:ind w:left="720"/>
      <w:contextualSpacing/>
    </w:pPr>
  </w:style>
  <w:style w:type="paragraph" w:styleId="Notedebasdepage">
    <w:name w:val="footnote text"/>
    <w:aliases w:val="Footnote Text Char"/>
    <w:basedOn w:val="Normal"/>
    <w:link w:val="NotedebasdepageCar"/>
    <w:uiPriority w:val="99"/>
    <w:rsid w:val="00982586"/>
    <w:pPr>
      <w:spacing w:after="0" w:line="240" w:lineRule="auto"/>
      <w:jc w:val="both"/>
    </w:pPr>
    <w:rPr>
      <w:rFonts w:ascii="Times New Roman" w:eastAsia="Times New Roman" w:hAnsi="Times New Roman" w:cs="Times New Roman"/>
      <w:sz w:val="20"/>
      <w:szCs w:val="20"/>
      <w:lang w:val="en-GB" w:eastAsia="en-GB"/>
    </w:rPr>
  </w:style>
  <w:style w:type="character" w:customStyle="1" w:styleId="NotedebasdepageCar">
    <w:name w:val="Note de bas de page Car"/>
    <w:aliases w:val="Footnote Text Char Car"/>
    <w:basedOn w:val="Policepardfaut"/>
    <w:link w:val="Notedebasdepage"/>
    <w:uiPriority w:val="99"/>
    <w:qFormat/>
    <w:rsid w:val="00982586"/>
    <w:rPr>
      <w:rFonts w:ascii="Times New Roman" w:eastAsia="Times New Roman" w:hAnsi="Times New Roman" w:cs="Times New Roman"/>
      <w:sz w:val="20"/>
      <w:szCs w:val="20"/>
      <w:lang w:val="en-GB" w:eastAsia="en-GB"/>
    </w:rPr>
  </w:style>
  <w:style w:type="character" w:styleId="Appelnotedebasdep">
    <w:name w:val="footnote reference"/>
    <w:basedOn w:val="Policepardfaut"/>
    <w:uiPriority w:val="99"/>
    <w:semiHidden/>
    <w:rsid w:val="00982586"/>
    <w:rPr>
      <w:rFonts w:cs="Times New Roman"/>
      <w:vertAlign w:val="superscript"/>
    </w:rPr>
  </w:style>
  <w:style w:type="character" w:customStyle="1" w:styleId="Titre3Car">
    <w:name w:val="Titre 3 Car"/>
    <w:basedOn w:val="Policepardfaut"/>
    <w:link w:val="Titre3"/>
    <w:uiPriority w:val="9"/>
    <w:rsid w:val="0089248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751A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751A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751A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751A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751A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751A5"/>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2B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388C"/>
    <w:pPr>
      <w:tabs>
        <w:tab w:val="center" w:pos="4703"/>
        <w:tab w:val="right" w:pos="9406"/>
      </w:tabs>
      <w:spacing w:after="0" w:line="240" w:lineRule="auto"/>
    </w:pPr>
  </w:style>
  <w:style w:type="character" w:customStyle="1" w:styleId="En-tteCar">
    <w:name w:val="En-tête Car"/>
    <w:basedOn w:val="Policepardfaut"/>
    <w:link w:val="En-tte"/>
    <w:uiPriority w:val="99"/>
    <w:rsid w:val="0019388C"/>
  </w:style>
  <w:style w:type="paragraph" w:styleId="Pieddepage">
    <w:name w:val="footer"/>
    <w:basedOn w:val="Normal"/>
    <w:link w:val="PieddepageCar"/>
    <w:uiPriority w:val="99"/>
    <w:unhideWhenUsed/>
    <w:rsid w:val="0019388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9388C"/>
  </w:style>
  <w:style w:type="character" w:styleId="Lienhypertexte">
    <w:name w:val="Hyperlink"/>
    <w:basedOn w:val="Policepardfaut"/>
    <w:uiPriority w:val="99"/>
    <w:unhideWhenUsed/>
    <w:rsid w:val="00B0157C"/>
    <w:rPr>
      <w:color w:val="0000FF" w:themeColor="hyperlink"/>
      <w:u w:val="single"/>
    </w:rPr>
  </w:style>
  <w:style w:type="paragraph" w:styleId="Textedebulles">
    <w:name w:val="Balloon Text"/>
    <w:basedOn w:val="Normal"/>
    <w:link w:val="TextedebullesCar"/>
    <w:uiPriority w:val="99"/>
    <w:semiHidden/>
    <w:unhideWhenUsed/>
    <w:rsid w:val="003735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30"/>
    <w:rPr>
      <w:rFonts w:ascii="Tahoma" w:hAnsi="Tahoma" w:cs="Tahoma"/>
      <w:sz w:val="16"/>
      <w:szCs w:val="16"/>
    </w:rPr>
  </w:style>
  <w:style w:type="paragraph" w:styleId="Lgende">
    <w:name w:val="caption"/>
    <w:aliases w:val="ADEME Légende"/>
    <w:basedOn w:val="Normal"/>
    <w:next w:val="Normal"/>
    <w:link w:val="LgendeCar"/>
    <w:unhideWhenUsed/>
    <w:qFormat/>
    <w:rsid w:val="00373530"/>
    <w:pPr>
      <w:spacing w:line="240" w:lineRule="auto"/>
    </w:pPr>
    <w:rPr>
      <w:b/>
      <w:bCs/>
      <w:color w:val="4F81BD" w:themeColor="accent1"/>
      <w:sz w:val="18"/>
      <w:szCs w:val="18"/>
    </w:rPr>
  </w:style>
  <w:style w:type="paragraph" w:styleId="Corpsdetexte">
    <w:name w:val="Body Text"/>
    <w:basedOn w:val="Normal"/>
    <w:link w:val="CorpsdetexteCar"/>
    <w:rsid w:val="00873A69"/>
    <w:pPr>
      <w:spacing w:after="140" w:line="288" w:lineRule="auto"/>
    </w:pPr>
    <w:rPr>
      <w:color w:val="00000A"/>
    </w:rPr>
  </w:style>
  <w:style w:type="character" w:customStyle="1" w:styleId="CorpsdetexteCar">
    <w:name w:val="Corps de texte Car"/>
    <w:basedOn w:val="Policepardfaut"/>
    <w:link w:val="Corpsdetexte"/>
    <w:rsid w:val="00873A69"/>
    <w:rPr>
      <w:color w:val="00000A"/>
    </w:rPr>
  </w:style>
  <w:style w:type="paragraph" w:styleId="NormalWeb">
    <w:name w:val="Normal (Web)"/>
    <w:basedOn w:val="Normal"/>
    <w:uiPriority w:val="99"/>
    <w:unhideWhenUsed/>
    <w:rsid w:val="0088379E"/>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D10583"/>
    <w:rPr>
      <w:sz w:val="16"/>
      <w:szCs w:val="16"/>
    </w:rPr>
  </w:style>
  <w:style w:type="paragraph" w:styleId="Commentaire">
    <w:name w:val="annotation text"/>
    <w:basedOn w:val="Normal"/>
    <w:link w:val="CommentaireCar"/>
    <w:uiPriority w:val="99"/>
    <w:semiHidden/>
    <w:unhideWhenUsed/>
    <w:rsid w:val="00D10583"/>
    <w:pPr>
      <w:spacing w:line="240" w:lineRule="auto"/>
    </w:pPr>
    <w:rPr>
      <w:sz w:val="20"/>
      <w:szCs w:val="20"/>
    </w:rPr>
  </w:style>
  <w:style w:type="character" w:customStyle="1" w:styleId="CommentaireCar">
    <w:name w:val="Commentaire Car"/>
    <w:basedOn w:val="Policepardfaut"/>
    <w:link w:val="Commentaire"/>
    <w:uiPriority w:val="99"/>
    <w:semiHidden/>
    <w:rsid w:val="00D10583"/>
    <w:rPr>
      <w:sz w:val="20"/>
      <w:szCs w:val="20"/>
    </w:rPr>
  </w:style>
  <w:style w:type="paragraph" w:styleId="Objetducommentaire">
    <w:name w:val="annotation subject"/>
    <w:basedOn w:val="Commentaire"/>
    <w:next w:val="Commentaire"/>
    <w:link w:val="ObjetducommentaireCar"/>
    <w:uiPriority w:val="99"/>
    <w:semiHidden/>
    <w:unhideWhenUsed/>
    <w:rsid w:val="00D10583"/>
    <w:rPr>
      <w:b/>
      <w:bCs/>
    </w:rPr>
  </w:style>
  <w:style w:type="character" w:customStyle="1" w:styleId="ObjetducommentaireCar">
    <w:name w:val="Objet du commentaire Car"/>
    <w:basedOn w:val="CommentaireCar"/>
    <w:link w:val="Objetducommentaire"/>
    <w:uiPriority w:val="99"/>
    <w:semiHidden/>
    <w:rsid w:val="00D10583"/>
    <w:rPr>
      <w:b/>
      <w:bCs/>
      <w:sz w:val="20"/>
      <w:szCs w:val="20"/>
    </w:rPr>
  </w:style>
  <w:style w:type="paragraph" w:styleId="En-ttedetabledesmatires">
    <w:name w:val="TOC Heading"/>
    <w:basedOn w:val="Titre1"/>
    <w:next w:val="Normal"/>
    <w:uiPriority w:val="39"/>
    <w:semiHidden/>
    <w:unhideWhenUsed/>
    <w:qFormat/>
    <w:rsid w:val="001F20B6"/>
    <w:pPr>
      <w:numPr>
        <w:numId w:val="0"/>
      </w:numPr>
      <w:jc w:val="both"/>
      <w:outlineLvl w:val="9"/>
    </w:pPr>
  </w:style>
  <w:style w:type="character" w:customStyle="1" w:styleId="LgendeCar">
    <w:name w:val="Légende Car"/>
    <w:aliases w:val="ADEME Légende Car"/>
    <w:link w:val="Lgende"/>
    <w:rsid w:val="001F20B6"/>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310">
      <w:bodyDiv w:val="1"/>
      <w:marLeft w:val="0"/>
      <w:marRight w:val="0"/>
      <w:marTop w:val="0"/>
      <w:marBottom w:val="0"/>
      <w:divBdr>
        <w:top w:val="none" w:sz="0" w:space="0" w:color="auto"/>
        <w:left w:val="none" w:sz="0" w:space="0" w:color="auto"/>
        <w:bottom w:val="none" w:sz="0" w:space="0" w:color="auto"/>
        <w:right w:val="none" w:sz="0" w:space="0" w:color="auto"/>
      </w:divBdr>
      <w:divsChild>
        <w:div w:id="1088310341">
          <w:marLeft w:val="0"/>
          <w:marRight w:val="0"/>
          <w:marTop w:val="0"/>
          <w:marBottom w:val="0"/>
          <w:divBdr>
            <w:top w:val="none" w:sz="0" w:space="0" w:color="auto"/>
            <w:left w:val="none" w:sz="0" w:space="0" w:color="auto"/>
            <w:bottom w:val="none" w:sz="0" w:space="0" w:color="auto"/>
            <w:right w:val="none" w:sz="0" w:space="0" w:color="auto"/>
          </w:divBdr>
          <w:divsChild>
            <w:div w:id="826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241">
      <w:bodyDiv w:val="1"/>
      <w:marLeft w:val="0"/>
      <w:marRight w:val="0"/>
      <w:marTop w:val="0"/>
      <w:marBottom w:val="0"/>
      <w:divBdr>
        <w:top w:val="none" w:sz="0" w:space="0" w:color="auto"/>
        <w:left w:val="none" w:sz="0" w:space="0" w:color="auto"/>
        <w:bottom w:val="none" w:sz="0" w:space="0" w:color="auto"/>
        <w:right w:val="none" w:sz="0" w:space="0" w:color="auto"/>
      </w:divBdr>
      <w:divsChild>
        <w:div w:id="456603919">
          <w:marLeft w:val="0"/>
          <w:marRight w:val="0"/>
          <w:marTop w:val="0"/>
          <w:marBottom w:val="0"/>
          <w:divBdr>
            <w:top w:val="none" w:sz="0" w:space="0" w:color="auto"/>
            <w:left w:val="none" w:sz="0" w:space="0" w:color="auto"/>
            <w:bottom w:val="none" w:sz="0" w:space="0" w:color="auto"/>
            <w:right w:val="none" w:sz="0" w:space="0" w:color="auto"/>
          </w:divBdr>
          <w:divsChild>
            <w:div w:id="719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5541">
      <w:bodyDiv w:val="1"/>
      <w:marLeft w:val="0"/>
      <w:marRight w:val="0"/>
      <w:marTop w:val="0"/>
      <w:marBottom w:val="0"/>
      <w:divBdr>
        <w:top w:val="none" w:sz="0" w:space="0" w:color="auto"/>
        <w:left w:val="none" w:sz="0" w:space="0" w:color="auto"/>
        <w:bottom w:val="none" w:sz="0" w:space="0" w:color="auto"/>
        <w:right w:val="none" w:sz="0" w:space="0" w:color="auto"/>
      </w:divBdr>
      <w:divsChild>
        <w:div w:id="283273187">
          <w:marLeft w:val="0"/>
          <w:marRight w:val="0"/>
          <w:marTop w:val="0"/>
          <w:marBottom w:val="0"/>
          <w:divBdr>
            <w:top w:val="none" w:sz="0" w:space="0" w:color="auto"/>
            <w:left w:val="none" w:sz="0" w:space="0" w:color="auto"/>
            <w:bottom w:val="none" w:sz="0" w:space="0" w:color="auto"/>
            <w:right w:val="none" w:sz="0" w:space="0" w:color="auto"/>
          </w:divBdr>
          <w:divsChild>
            <w:div w:id="21241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277">
      <w:bodyDiv w:val="1"/>
      <w:marLeft w:val="0"/>
      <w:marRight w:val="0"/>
      <w:marTop w:val="0"/>
      <w:marBottom w:val="0"/>
      <w:divBdr>
        <w:top w:val="none" w:sz="0" w:space="0" w:color="auto"/>
        <w:left w:val="none" w:sz="0" w:space="0" w:color="auto"/>
        <w:bottom w:val="none" w:sz="0" w:space="0" w:color="auto"/>
        <w:right w:val="none" w:sz="0" w:space="0" w:color="auto"/>
      </w:divBdr>
      <w:divsChild>
        <w:div w:id="1899318828">
          <w:marLeft w:val="0"/>
          <w:marRight w:val="0"/>
          <w:marTop w:val="0"/>
          <w:marBottom w:val="0"/>
          <w:divBdr>
            <w:top w:val="none" w:sz="0" w:space="0" w:color="auto"/>
            <w:left w:val="none" w:sz="0" w:space="0" w:color="auto"/>
            <w:bottom w:val="none" w:sz="0" w:space="0" w:color="auto"/>
            <w:right w:val="none" w:sz="0" w:space="0" w:color="auto"/>
          </w:divBdr>
          <w:divsChild>
            <w:div w:id="10665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9493">
      <w:bodyDiv w:val="1"/>
      <w:marLeft w:val="0"/>
      <w:marRight w:val="0"/>
      <w:marTop w:val="0"/>
      <w:marBottom w:val="0"/>
      <w:divBdr>
        <w:top w:val="none" w:sz="0" w:space="0" w:color="auto"/>
        <w:left w:val="none" w:sz="0" w:space="0" w:color="auto"/>
        <w:bottom w:val="none" w:sz="0" w:space="0" w:color="auto"/>
        <w:right w:val="none" w:sz="0" w:space="0" w:color="auto"/>
      </w:divBdr>
      <w:divsChild>
        <w:div w:id="1112475242">
          <w:marLeft w:val="0"/>
          <w:marRight w:val="0"/>
          <w:marTop w:val="0"/>
          <w:marBottom w:val="0"/>
          <w:divBdr>
            <w:top w:val="none" w:sz="0" w:space="0" w:color="auto"/>
            <w:left w:val="none" w:sz="0" w:space="0" w:color="auto"/>
            <w:bottom w:val="none" w:sz="0" w:space="0" w:color="auto"/>
            <w:right w:val="none" w:sz="0" w:space="0" w:color="auto"/>
          </w:divBdr>
          <w:divsChild>
            <w:div w:id="466901169">
              <w:marLeft w:val="0"/>
              <w:marRight w:val="0"/>
              <w:marTop w:val="0"/>
              <w:marBottom w:val="0"/>
              <w:divBdr>
                <w:top w:val="none" w:sz="0" w:space="0" w:color="auto"/>
                <w:left w:val="none" w:sz="0" w:space="0" w:color="auto"/>
                <w:bottom w:val="none" w:sz="0" w:space="0" w:color="auto"/>
                <w:right w:val="none" w:sz="0" w:space="0" w:color="auto"/>
              </w:divBdr>
            </w:div>
            <w:div w:id="251861248">
              <w:marLeft w:val="0"/>
              <w:marRight w:val="0"/>
              <w:marTop w:val="0"/>
              <w:marBottom w:val="0"/>
              <w:divBdr>
                <w:top w:val="none" w:sz="0" w:space="0" w:color="auto"/>
                <w:left w:val="none" w:sz="0" w:space="0" w:color="auto"/>
                <w:bottom w:val="none" w:sz="0" w:space="0" w:color="auto"/>
                <w:right w:val="none" w:sz="0" w:space="0" w:color="auto"/>
              </w:divBdr>
            </w:div>
            <w:div w:id="564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0970">
      <w:bodyDiv w:val="1"/>
      <w:marLeft w:val="0"/>
      <w:marRight w:val="0"/>
      <w:marTop w:val="0"/>
      <w:marBottom w:val="0"/>
      <w:divBdr>
        <w:top w:val="none" w:sz="0" w:space="0" w:color="auto"/>
        <w:left w:val="none" w:sz="0" w:space="0" w:color="auto"/>
        <w:bottom w:val="none" w:sz="0" w:space="0" w:color="auto"/>
        <w:right w:val="none" w:sz="0" w:space="0" w:color="auto"/>
      </w:divBdr>
      <w:divsChild>
        <w:div w:id="1718818955">
          <w:marLeft w:val="0"/>
          <w:marRight w:val="0"/>
          <w:marTop w:val="0"/>
          <w:marBottom w:val="0"/>
          <w:divBdr>
            <w:top w:val="none" w:sz="0" w:space="0" w:color="auto"/>
            <w:left w:val="none" w:sz="0" w:space="0" w:color="auto"/>
            <w:bottom w:val="none" w:sz="0" w:space="0" w:color="auto"/>
            <w:right w:val="none" w:sz="0" w:space="0" w:color="auto"/>
          </w:divBdr>
          <w:divsChild>
            <w:div w:id="2083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511">
      <w:bodyDiv w:val="1"/>
      <w:marLeft w:val="0"/>
      <w:marRight w:val="0"/>
      <w:marTop w:val="0"/>
      <w:marBottom w:val="0"/>
      <w:divBdr>
        <w:top w:val="none" w:sz="0" w:space="0" w:color="auto"/>
        <w:left w:val="none" w:sz="0" w:space="0" w:color="auto"/>
        <w:bottom w:val="none" w:sz="0" w:space="0" w:color="auto"/>
        <w:right w:val="none" w:sz="0" w:space="0" w:color="auto"/>
      </w:divBdr>
      <w:divsChild>
        <w:div w:id="884103983">
          <w:marLeft w:val="0"/>
          <w:marRight w:val="0"/>
          <w:marTop w:val="0"/>
          <w:marBottom w:val="0"/>
          <w:divBdr>
            <w:top w:val="none" w:sz="0" w:space="0" w:color="auto"/>
            <w:left w:val="none" w:sz="0" w:space="0" w:color="auto"/>
            <w:bottom w:val="none" w:sz="0" w:space="0" w:color="auto"/>
            <w:right w:val="none" w:sz="0" w:space="0" w:color="auto"/>
          </w:divBdr>
          <w:divsChild>
            <w:div w:id="11782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274">
      <w:bodyDiv w:val="1"/>
      <w:marLeft w:val="0"/>
      <w:marRight w:val="0"/>
      <w:marTop w:val="0"/>
      <w:marBottom w:val="0"/>
      <w:divBdr>
        <w:top w:val="none" w:sz="0" w:space="0" w:color="auto"/>
        <w:left w:val="none" w:sz="0" w:space="0" w:color="auto"/>
        <w:bottom w:val="none" w:sz="0" w:space="0" w:color="auto"/>
        <w:right w:val="none" w:sz="0" w:space="0" w:color="auto"/>
      </w:divBdr>
    </w:div>
    <w:div w:id="831725297">
      <w:bodyDiv w:val="1"/>
      <w:marLeft w:val="0"/>
      <w:marRight w:val="0"/>
      <w:marTop w:val="0"/>
      <w:marBottom w:val="0"/>
      <w:divBdr>
        <w:top w:val="none" w:sz="0" w:space="0" w:color="auto"/>
        <w:left w:val="none" w:sz="0" w:space="0" w:color="auto"/>
        <w:bottom w:val="none" w:sz="0" w:space="0" w:color="auto"/>
        <w:right w:val="none" w:sz="0" w:space="0" w:color="auto"/>
      </w:divBdr>
      <w:divsChild>
        <w:div w:id="1118177889">
          <w:marLeft w:val="0"/>
          <w:marRight w:val="0"/>
          <w:marTop w:val="0"/>
          <w:marBottom w:val="0"/>
          <w:divBdr>
            <w:top w:val="none" w:sz="0" w:space="0" w:color="auto"/>
            <w:left w:val="none" w:sz="0" w:space="0" w:color="auto"/>
            <w:bottom w:val="none" w:sz="0" w:space="0" w:color="auto"/>
            <w:right w:val="none" w:sz="0" w:space="0" w:color="auto"/>
          </w:divBdr>
          <w:divsChild>
            <w:div w:id="5143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5702">
      <w:bodyDiv w:val="1"/>
      <w:marLeft w:val="0"/>
      <w:marRight w:val="0"/>
      <w:marTop w:val="0"/>
      <w:marBottom w:val="0"/>
      <w:divBdr>
        <w:top w:val="none" w:sz="0" w:space="0" w:color="auto"/>
        <w:left w:val="none" w:sz="0" w:space="0" w:color="auto"/>
        <w:bottom w:val="none" w:sz="0" w:space="0" w:color="auto"/>
        <w:right w:val="none" w:sz="0" w:space="0" w:color="auto"/>
      </w:divBdr>
      <w:divsChild>
        <w:div w:id="497572939">
          <w:marLeft w:val="0"/>
          <w:marRight w:val="0"/>
          <w:marTop w:val="0"/>
          <w:marBottom w:val="0"/>
          <w:divBdr>
            <w:top w:val="none" w:sz="0" w:space="0" w:color="auto"/>
            <w:left w:val="none" w:sz="0" w:space="0" w:color="auto"/>
            <w:bottom w:val="none" w:sz="0" w:space="0" w:color="auto"/>
            <w:right w:val="none" w:sz="0" w:space="0" w:color="auto"/>
          </w:divBdr>
          <w:divsChild>
            <w:div w:id="10000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3282">
      <w:bodyDiv w:val="1"/>
      <w:marLeft w:val="0"/>
      <w:marRight w:val="0"/>
      <w:marTop w:val="0"/>
      <w:marBottom w:val="0"/>
      <w:divBdr>
        <w:top w:val="none" w:sz="0" w:space="0" w:color="auto"/>
        <w:left w:val="none" w:sz="0" w:space="0" w:color="auto"/>
        <w:bottom w:val="none" w:sz="0" w:space="0" w:color="auto"/>
        <w:right w:val="none" w:sz="0" w:space="0" w:color="auto"/>
      </w:divBdr>
      <w:divsChild>
        <w:div w:id="1949048616">
          <w:marLeft w:val="0"/>
          <w:marRight w:val="0"/>
          <w:marTop w:val="0"/>
          <w:marBottom w:val="0"/>
          <w:divBdr>
            <w:top w:val="none" w:sz="0" w:space="0" w:color="auto"/>
            <w:left w:val="none" w:sz="0" w:space="0" w:color="auto"/>
            <w:bottom w:val="none" w:sz="0" w:space="0" w:color="auto"/>
            <w:right w:val="none" w:sz="0" w:space="0" w:color="auto"/>
          </w:divBdr>
          <w:divsChild>
            <w:div w:id="4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7854">
      <w:bodyDiv w:val="1"/>
      <w:marLeft w:val="0"/>
      <w:marRight w:val="0"/>
      <w:marTop w:val="0"/>
      <w:marBottom w:val="0"/>
      <w:divBdr>
        <w:top w:val="none" w:sz="0" w:space="0" w:color="auto"/>
        <w:left w:val="none" w:sz="0" w:space="0" w:color="auto"/>
        <w:bottom w:val="none" w:sz="0" w:space="0" w:color="auto"/>
        <w:right w:val="none" w:sz="0" w:space="0" w:color="auto"/>
      </w:divBdr>
    </w:div>
    <w:div w:id="1255286704">
      <w:bodyDiv w:val="1"/>
      <w:marLeft w:val="0"/>
      <w:marRight w:val="0"/>
      <w:marTop w:val="0"/>
      <w:marBottom w:val="0"/>
      <w:divBdr>
        <w:top w:val="none" w:sz="0" w:space="0" w:color="auto"/>
        <w:left w:val="none" w:sz="0" w:space="0" w:color="auto"/>
        <w:bottom w:val="none" w:sz="0" w:space="0" w:color="auto"/>
        <w:right w:val="none" w:sz="0" w:space="0" w:color="auto"/>
      </w:divBdr>
      <w:divsChild>
        <w:div w:id="1447964283">
          <w:marLeft w:val="0"/>
          <w:marRight w:val="0"/>
          <w:marTop w:val="0"/>
          <w:marBottom w:val="0"/>
          <w:divBdr>
            <w:top w:val="none" w:sz="0" w:space="0" w:color="auto"/>
            <w:left w:val="none" w:sz="0" w:space="0" w:color="auto"/>
            <w:bottom w:val="none" w:sz="0" w:space="0" w:color="auto"/>
            <w:right w:val="none" w:sz="0" w:space="0" w:color="auto"/>
          </w:divBdr>
          <w:divsChild>
            <w:div w:id="1212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3791">
      <w:bodyDiv w:val="1"/>
      <w:marLeft w:val="0"/>
      <w:marRight w:val="0"/>
      <w:marTop w:val="0"/>
      <w:marBottom w:val="0"/>
      <w:divBdr>
        <w:top w:val="none" w:sz="0" w:space="0" w:color="auto"/>
        <w:left w:val="none" w:sz="0" w:space="0" w:color="auto"/>
        <w:bottom w:val="none" w:sz="0" w:space="0" w:color="auto"/>
        <w:right w:val="none" w:sz="0" w:space="0" w:color="auto"/>
      </w:divBdr>
      <w:divsChild>
        <w:div w:id="666907657">
          <w:marLeft w:val="0"/>
          <w:marRight w:val="0"/>
          <w:marTop w:val="0"/>
          <w:marBottom w:val="0"/>
          <w:divBdr>
            <w:top w:val="none" w:sz="0" w:space="0" w:color="auto"/>
            <w:left w:val="none" w:sz="0" w:space="0" w:color="auto"/>
            <w:bottom w:val="none" w:sz="0" w:space="0" w:color="auto"/>
            <w:right w:val="none" w:sz="0" w:space="0" w:color="auto"/>
          </w:divBdr>
          <w:divsChild>
            <w:div w:id="9392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0776">
      <w:bodyDiv w:val="1"/>
      <w:marLeft w:val="0"/>
      <w:marRight w:val="0"/>
      <w:marTop w:val="0"/>
      <w:marBottom w:val="0"/>
      <w:divBdr>
        <w:top w:val="none" w:sz="0" w:space="0" w:color="auto"/>
        <w:left w:val="none" w:sz="0" w:space="0" w:color="auto"/>
        <w:bottom w:val="none" w:sz="0" w:space="0" w:color="auto"/>
        <w:right w:val="none" w:sz="0" w:space="0" w:color="auto"/>
      </w:divBdr>
      <w:divsChild>
        <w:div w:id="365057322">
          <w:marLeft w:val="0"/>
          <w:marRight w:val="0"/>
          <w:marTop w:val="0"/>
          <w:marBottom w:val="0"/>
          <w:divBdr>
            <w:top w:val="none" w:sz="0" w:space="0" w:color="auto"/>
            <w:left w:val="none" w:sz="0" w:space="0" w:color="auto"/>
            <w:bottom w:val="none" w:sz="0" w:space="0" w:color="auto"/>
            <w:right w:val="none" w:sz="0" w:space="0" w:color="auto"/>
          </w:divBdr>
          <w:divsChild>
            <w:div w:id="1447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7760">
      <w:bodyDiv w:val="1"/>
      <w:marLeft w:val="0"/>
      <w:marRight w:val="0"/>
      <w:marTop w:val="0"/>
      <w:marBottom w:val="0"/>
      <w:divBdr>
        <w:top w:val="none" w:sz="0" w:space="0" w:color="auto"/>
        <w:left w:val="none" w:sz="0" w:space="0" w:color="auto"/>
        <w:bottom w:val="none" w:sz="0" w:space="0" w:color="auto"/>
        <w:right w:val="none" w:sz="0" w:space="0" w:color="auto"/>
      </w:divBdr>
    </w:div>
    <w:div w:id="1894391266">
      <w:bodyDiv w:val="1"/>
      <w:marLeft w:val="0"/>
      <w:marRight w:val="0"/>
      <w:marTop w:val="0"/>
      <w:marBottom w:val="0"/>
      <w:divBdr>
        <w:top w:val="none" w:sz="0" w:space="0" w:color="auto"/>
        <w:left w:val="none" w:sz="0" w:space="0" w:color="auto"/>
        <w:bottom w:val="none" w:sz="0" w:space="0" w:color="auto"/>
        <w:right w:val="none" w:sz="0" w:space="0" w:color="auto"/>
      </w:divBdr>
      <w:divsChild>
        <w:div w:id="1355957089">
          <w:marLeft w:val="0"/>
          <w:marRight w:val="0"/>
          <w:marTop w:val="0"/>
          <w:marBottom w:val="0"/>
          <w:divBdr>
            <w:top w:val="none" w:sz="0" w:space="0" w:color="auto"/>
            <w:left w:val="none" w:sz="0" w:space="0" w:color="auto"/>
            <w:bottom w:val="none" w:sz="0" w:space="0" w:color="auto"/>
            <w:right w:val="none" w:sz="0" w:space="0" w:color="auto"/>
          </w:divBdr>
          <w:divsChild>
            <w:div w:id="5293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doi.org/https://www.eceee.org/library/conference_proceedings/eceee_Summer_Studies/2019/7-make-buildings-policies-great-again/social-environmental-economic-trade-offs-associated-with-carbon-tax-revenue-recycling/"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s://doi.org/10.1162/003465399558274"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ademe.fr/sites/default/files/assets/documents/open_2015_8679.pdf" TargetMode="External"/><Relationship Id="rId33" Type="http://schemas.openxmlformats.org/officeDocument/2006/relationships/hyperlink" Target="https://doi.org/10.1016/j.trd.2016.04.00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https://doi.org/10.1257/jel.201613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ademe.fr/sites/default/files/assets/documents/chiffres-cles-climat-air-energie-8705-bd.pdf" TargetMode="External"/><Relationship Id="rId32" Type="http://schemas.openxmlformats.org/officeDocument/2006/relationships/hyperlink" Target="https://doi.org/10.1016/0140-9883(85)90035-0"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doi.org/10.1093/qje/qjy005"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doi.org/10.1086/698446" TargetMode="External"/><Relationship Id="rId4" Type="http://schemas.microsoft.com/office/2007/relationships/stylesWithEffects" Target="stylesWithEffects.xml"/><Relationship Id="rId9" Type="http://schemas.openxmlformats.org/officeDocument/2006/relationships/hyperlink" Target="mailto:giraudet@centre-cired.f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doi.org/10.1016/j.ecolecon.2017.07.002" TargetMode="External"/><Relationship Id="rId30" Type="http://schemas.openxmlformats.org/officeDocument/2006/relationships/hyperlink" Target="https://doi.org/10.5547/2160-5890.4.1.lgir" TargetMode="External"/><Relationship Id="rId35" Type="http://schemas.openxmlformats.org/officeDocument/2006/relationships/hyperlink" Target="https://doi.org/10.1146/annurev-environ-052810-1648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2126-B1BC-4A71-BA31-74115912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29</Pages>
  <Words>10257</Words>
  <Characters>58468</Characters>
  <Application>Microsoft Office Word</Application>
  <DocSecurity>0</DocSecurity>
  <Lines>487</Lines>
  <Paragraphs>137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 Giraudet</cp:lastModifiedBy>
  <cp:revision>496</cp:revision>
  <cp:lastPrinted>2018-10-08T16:15:00Z</cp:lastPrinted>
  <dcterms:created xsi:type="dcterms:W3CDTF">2019-11-25T14:31:00Z</dcterms:created>
  <dcterms:modified xsi:type="dcterms:W3CDTF">2019-12-20T10:20:00Z</dcterms:modified>
</cp:coreProperties>
</file>