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3E" w:rsidRDefault="006C5782" w:rsidP="00F2594F">
      <w:pPr>
        <w:autoSpaceDE w:val="0"/>
        <w:autoSpaceDN w:val="0"/>
        <w:adjustRightInd w:val="0"/>
        <w:spacing w:after="0" w:line="240" w:lineRule="auto"/>
        <w:jc w:val="center"/>
        <w:rPr>
          <w:rFonts w:ascii="Arial" w:hAnsi="Arial" w:cs="Arial"/>
          <w:b/>
          <w:sz w:val="28"/>
          <w:szCs w:val="28"/>
          <w:lang w:val="en-US"/>
        </w:rPr>
      </w:pPr>
      <w:bookmarkStart w:id="0" w:name="_GoBack"/>
      <w:bookmarkEnd w:id="0"/>
      <w:r>
        <w:rPr>
          <w:rFonts w:ascii="Arial" w:hAnsi="Arial" w:cs="Arial"/>
          <w:b/>
          <w:sz w:val="28"/>
          <w:szCs w:val="28"/>
          <w:lang w:val="en-US"/>
        </w:rPr>
        <w:t>Lipase</w:t>
      </w:r>
      <w:r w:rsidR="0030773E" w:rsidRPr="001C7161">
        <w:rPr>
          <w:rFonts w:ascii="Arial" w:hAnsi="Arial" w:cs="Arial"/>
          <w:b/>
          <w:sz w:val="28"/>
          <w:szCs w:val="28"/>
          <w:lang w:val="en-US"/>
        </w:rPr>
        <w:t xml:space="preserve"> </w:t>
      </w:r>
      <w:r>
        <w:rPr>
          <w:rFonts w:ascii="Arial" w:hAnsi="Arial" w:cs="Arial"/>
          <w:b/>
          <w:sz w:val="28"/>
          <w:szCs w:val="28"/>
          <w:lang w:val="en-US"/>
        </w:rPr>
        <w:t>activity on</w:t>
      </w:r>
      <w:r w:rsidR="0030773E" w:rsidRPr="001C7161">
        <w:rPr>
          <w:rFonts w:ascii="Arial" w:hAnsi="Arial" w:cs="Arial"/>
          <w:b/>
          <w:sz w:val="28"/>
          <w:szCs w:val="28"/>
          <w:lang w:val="en-US"/>
        </w:rPr>
        <w:t xml:space="preserve"> milk fat globules </w:t>
      </w:r>
      <w:r w:rsidR="00DC000E" w:rsidRPr="001C7161">
        <w:rPr>
          <w:rFonts w:ascii="Arial" w:hAnsi="Arial" w:cs="Arial"/>
          <w:b/>
          <w:sz w:val="28"/>
          <w:szCs w:val="28"/>
          <w:lang w:val="en-US"/>
        </w:rPr>
        <w:t xml:space="preserve">in a mini-digester </w:t>
      </w:r>
      <w:r w:rsidR="00DC000E">
        <w:rPr>
          <w:rFonts w:ascii="Arial" w:hAnsi="Arial" w:cs="Arial"/>
          <w:b/>
          <w:sz w:val="28"/>
          <w:szCs w:val="28"/>
          <w:lang w:val="en-US"/>
        </w:rPr>
        <w:t>to simulate</w:t>
      </w:r>
      <w:r w:rsidR="00DC000E" w:rsidRPr="001C7161">
        <w:rPr>
          <w:rFonts w:ascii="Arial" w:hAnsi="Arial" w:cs="Arial"/>
          <w:b/>
          <w:sz w:val="28"/>
          <w:szCs w:val="28"/>
          <w:lang w:val="en-US"/>
        </w:rPr>
        <w:t xml:space="preserve"> neonatal gastro-intestinal digestion </w:t>
      </w:r>
      <w:r w:rsidR="0030773E" w:rsidRPr="001C7161">
        <w:rPr>
          <w:rFonts w:ascii="Arial" w:hAnsi="Arial" w:cs="Arial"/>
          <w:b/>
          <w:sz w:val="28"/>
          <w:szCs w:val="28"/>
          <w:lang w:val="en-US"/>
        </w:rPr>
        <w:t xml:space="preserve">using DISCO beamline </w:t>
      </w:r>
    </w:p>
    <w:p w:rsidR="001C7161" w:rsidRPr="00DC000E" w:rsidRDefault="001C7161" w:rsidP="00F2594F">
      <w:pPr>
        <w:spacing w:after="0" w:line="240" w:lineRule="auto"/>
        <w:rPr>
          <w:rFonts w:ascii="Arial" w:hAnsi="Arial" w:cs="Arial"/>
          <w:sz w:val="28"/>
          <w:szCs w:val="28"/>
          <w:lang w:val="en-US"/>
        </w:rPr>
      </w:pPr>
    </w:p>
    <w:p w:rsidR="00F2594F" w:rsidRPr="00ED4D07" w:rsidRDefault="001C7161" w:rsidP="00F2594F">
      <w:pPr>
        <w:spacing w:after="0" w:line="240" w:lineRule="auto"/>
        <w:jc w:val="center"/>
        <w:rPr>
          <w:rFonts w:ascii="Arial" w:hAnsi="Arial" w:cs="Arial"/>
          <w:iCs/>
          <w:sz w:val="24"/>
          <w:szCs w:val="24"/>
        </w:rPr>
      </w:pPr>
      <w:r w:rsidRPr="00ED4D07">
        <w:rPr>
          <w:rFonts w:ascii="Arial" w:hAnsi="Arial" w:cs="Arial"/>
          <w:b/>
          <w:iCs/>
          <w:sz w:val="24"/>
          <w:szCs w:val="24"/>
        </w:rPr>
        <w:t>Bourlieu</w:t>
      </w:r>
      <w:r w:rsidR="00DC000E" w:rsidRPr="00ED4D07">
        <w:rPr>
          <w:rFonts w:ascii="Arial" w:hAnsi="Arial" w:cs="Arial"/>
          <w:b/>
          <w:iCs/>
          <w:sz w:val="24"/>
          <w:szCs w:val="24"/>
        </w:rPr>
        <w:t xml:space="preserve"> C. </w:t>
      </w:r>
      <w:r w:rsidRPr="00ED4D07">
        <w:rPr>
          <w:rFonts w:ascii="Arial" w:hAnsi="Arial" w:cs="Arial"/>
          <w:iCs/>
          <w:sz w:val="24"/>
          <w:szCs w:val="24"/>
          <w:vertAlign w:val="superscript"/>
        </w:rPr>
        <w:t>1,3</w:t>
      </w:r>
      <w:r w:rsidRPr="00ED4D07">
        <w:rPr>
          <w:rFonts w:ascii="Arial" w:hAnsi="Arial" w:cs="Arial"/>
          <w:iCs/>
          <w:sz w:val="24"/>
          <w:szCs w:val="24"/>
        </w:rPr>
        <w:t>*, Deglaire</w:t>
      </w:r>
      <w:r w:rsidR="00ED4D07" w:rsidRPr="00ED4D07">
        <w:rPr>
          <w:rFonts w:ascii="Arial" w:hAnsi="Arial" w:cs="Arial"/>
          <w:iCs/>
          <w:sz w:val="24"/>
          <w:szCs w:val="24"/>
        </w:rPr>
        <w:t xml:space="preserve"> A.</w:t>
      </w:r>
      <w:r w:rsidR="00ED4D07" w:rsidRPr="00ED4D07">
        <w:rPr>
          <w:rFonts w:ascii="Arial" w:hAnsi="Arial" w:cs="Arial"/>
          <w:iCs/>
          <w:sz w:val="24"/>
          <w:szCs w:val="24"/>
          <w:vertAlign w:val="superscript"/>
        </w:rPr>
        <w:t xml:space="preserve"> 1</w:t>
      </w:r>
      <w:r w:rsidR="00ED4D07" w:rsidRPr="00ED4D07">
        <w:rPr>
          <w:rFonts w:ascii="Arial" w:hAnsi="Arial" w:cs="Arial"/>
          <w:iCs/>
          <w:sz w:val="24"/>
          <w:szCs w:val="24"/>
        </w:rPr>
        <w:t xml:space="preserve">, </w:t>
      </w:r>
      <w:r w:rsidRPr="00ED4D07">
        <w:rPr>
          <w:rFonts w:ascii="Arial" w:hAnsi="Arial" w:cs="Arial"/>
          <w:iCs/>
          <w:sz w:val="24"/>
          <w:szCs w:val="24"/>
        </w:rPr>
        <w:t>Ménard</w:t>
      </w:r>
      <w:r w:rsidR="00ED4D07" w:rsidRPr="00ED4D07">
        <w:rPr>
          <w:rFonts w:ascii="Arial" w:hAnsi="Arial" w:cs="Arial"/>
          <w:iCs/>
          <w:sz w:val="24"/>
          <w:szCs w:val="24"/>
        </w:rPr>
        <w:t xml:space="preserve"> O.</w:t>
      </w:r>
      <w:r w:rsidR="00ED4D07" w:rsidRPr="00ED4D07">
        <w:rPr>
          <w:rFonts w:ascii="Arial" w:hAnsi="Arial" w:cs="Arial"/>
          <w:iCs/>
          <w:sz w:val="24"/>
          <w:szCs w:val="24"/>
          <w:vertAlign w:val="superscript"/>
        </w:rPr>
        <w:t xml:space="preserve"> 1</w:t>
      </w:r>
      <w:r w:rsidR="00ED4D07" w:rsidRPr="00ED4D07">
        <w:rPr>
          <w:rFonts w:ascii="Arial" w:hAnsi="Arial" w:cs="Arial"/>
          <w:iCs/>
          <w:sz w:val="24"/>
          <w:szCs w:val="24"/>
        </w:rPr>
        <w:t>,</w:t>
      </w:r>
      <w:r w:rsidRPr="00ED4D07">
        <w:rPr>
          <w:rFonts w:ascii="Arial" w:hAnsi="Arial" w:cs="Arial"/>
          <w:iCs/>
          <w:sz w:val="24"/>
          <w:szCs w:val="24"/>
        </w:rPr>
        <w:t xml:space="preserve"> Croguennec</w:t>
      </w:r>
      <w:r w:rsidR="00ED4D07" w:rsidRPr="00ED4D07">
        <w:rPr>
          <w:rFonts w:ascii="Arial" w:hAnsi="Arial" w:cs="Arial"/>
          <w:iCs/>
          <w:sz w:val="24"/>
          <w:szCs w:val="24"/>
        </w:rPr>
        <w:t xml:space="preserve"> T.</w:t>
      </w:r>
      <w:r w:rsidRPr="00ED4D07">
        <w:rPr>
          <w:rFonts w:ascii="Arial" w:hAnsi="Arial" w:cs="Arial"/>
          <w:iCs/>
          <w:sz w:val="24"/>
          <w:szCs w:val="24"/>
          <w:vertAlign w:val="superscript"/>
        </w:rPr>
        <w:t>1</w:t>
      </w:r>
      <w:r w:rsidRPr="00ED4D07">
        <w:rPr>
          <w:rFonts w:ascii="Arial" w:hAnsi="Arial" w:cs="Arial"/>
          <w:iCs/>
          <w:sz w:val="24"/>
          <w:szCs w:val="24"/>
        </w:rPr>
        <w:t>, Pezennec</w:t>
      </w:r>
      <w:r w:rsidR="00ED4D07">
        <w:rPr>
          <w:rFonts w:ascii="Arial" w:hAnsi="Arial" w:cs="Arial"/>
          <w:iCs/>
          <w:sz w:val="24"/>
          <w:szCs w:val="24"/>
        </w:rPr>
        <w:t xml:space="preserve"> S.</w:t>
      </w:r>
      <w:r w:rsidRPr="00ED4D07">
        <w:rPr>
          <w:rFonts w:ascii="Arial" w:hAnsi="Arial" w:cs="Arial"/>
          <w:iCs/>
          <w:sz w:val="24"/>
          <w:szCs w:val="24"/>
          <w:vertAlign w:val="superscript"/>
        </w:rPr>
        <w:t>1</w:t>
      </w:r>
      <w:r w:rsidR="00ED4D07">
        <w:rPr>
          <w:rFonts w:ascii="Arial" w:hAnsi="Arial" w:cs="Arial"/>
          <w:iCs/>
          <w:sz w:val="24"/>
          <w:szCs w:val="24"/>
        </w:rPr>
        <w:t>,</w:t>
      </w:r>
      <w:r w:rsidRPr="00ED4D07">
        <w:rPr>
          <w:rFonts w:ascii="Arial" w:hAnsi="Arial" w:cs="Arial"/>
          <w:iCs/>
          <w:sz w:val="24"/>
          <w:szCs w:val="24"/>
        </w:rPr>
        <w:t xml:space="preserve"> Floury</w:t>
      </w:r>
      <w:r w:rsidR="00ED4D07">
        <w:rPr>
          <w:rFonts w:ascii="Arial" w:hAnsi="Arial" w:cs="Arial"/>
          <w:iCs/>
          <w:sz w:val="24"/>
          <w:szCs w:val="24"/>
        </w:rPr>
        <w:t xml:space="preserve"> J.</w:t>
      </w:r>
      <w:r w:rsidRPr="00ED4D07">
        <w:rPr>
          <w:rFonts w:ascii="Arial" w:hAnsi="Arial" w:cs="Arial"/>
          <w:iCs/>
          <w:sz w:val="24"/>
          <w:szCs w:val="24"/>
          <w:vertAlign w:val="superscript"/>
        </w:rPr>
        <w:t>1</w:t>
      </w:r>
      <w:r w:rsidR="00ED4D07">
        <w:rPr>
          <w:rFonts w:ascii="Arial" w:hAnsi="Arial" w:cs="Arial"/>
          <w:iCs/>
          <w:sz w:val="24"/>
          <w:szCs w:val="24"/>
        </w:rPr>
        <w:t>,</w:t>
      </w:r>
      <w:r w:rsidRPr="00ED4D07">
        <w:rPr>
          <w:rFonts w:ascii="Arial" w:hAnsi="Arial" w:cs="Arial"/>
          <w:iCs/>
          <w:sz w:val="24"/>
          <w:szCs w:val="24"/>
        </w:rPr>
        <w:t xml:space="preserve"> Le Feunteun</w:t>
      </w:r>
      <w:r w:rsidR="00ED4D07">
        <w:rPr>
          <w:rFonts w:ascii="Arial" w:hAnsi="Arial" w:cs="Arial"/>
          <w:iCs/>
          <w:sz w:val="24"/>
          <w:szCs w:val="24"/>
        </w:rPr>
        <w:t xml:space="preserve"> S. </w:t>
      </w:r>
      <w:r w:rsidRPr="00ED4D07">
        <w:rPr>
          <w:rFonts w:ascii="Arial" w:hAnsi="Arial" w:cs="Arial"/>
          <w:iCs/>
          <w:sz w:val="24"/>
          <w:szCs w:val="24"/>
          <w:vertAlign w:val="superscript"/>
        </w:rPr>
        <w:t>2</w:t>
      </w:r>
      <w:r w:rsidRPr="00ED4D07">
        <w:rPr>
          <w:rFonts w:ascii="Arial" w:hAnsi="Arial" w:cs="Arial"/>
          <w:iCs/>
          <w:sz w:val="24"/>
          <w:szCs w:val="24"/>
        </w:rPr>
        <w:t>, Villeneuve</w:t>
      </w:r>
      <w:r w:rsidR="00ED4D07">
        <w:rPr>
          <w:rFonts w:ascii="Arial" w:hAnsi="Arial" w:cs="Arial"/>
          <w:iCs/>
          <w:sz w:val="24"/>
          <w:szCs w:val="24"/>
        </w:rPr>
        <w:t xml:space="preserve"> P.</w:t>
      </w:r>
      <w:r w:rsidRPr="00ED4D07">
        <w:rPr>
          <w:rFonts w:ascii="Arial" w:hAnsi="Arial" w:cs="Arial"/>
          <w:iCs/>
          <w:sz w:val="24"/>
          <w:szCs w:val="24"/>
          <w:vertAlign w:val="superscript"/>
        </w:rPr>
        <w:t>3</w:t>
      </w:r>
      <w:r w:rsidR="00ED4D07">
        <w:rPr>
          <w:rFonts w:ascii="Arial" w:hAnsi="Arial" w:cs="Arial"/>
          <w:iCs/>
          <w:sz w:val="24"/>
          <w:szCs w:val="24"/>
        </w:rPr>
        <w:t xml:space="preserve">, </w:t>
      </w:r>
      <w:r w:rsidRPr="00ED4D07">
        <w:rPr>
          <w:rFonts w:ascii="Arial" w:hAnsi="Arial" w:cs="Arial"/>
          <w:iCs/>
          <w:sz w:val="24"/>
          <w:szCs w:val="24"/>
        </w:rPr>
        <w:t>Carrière</w:t>
      </w:r>
      <w:r w:rsidR="00ED4D07">
        <w:rPr>
          <w:rFonts w:ascii="Arial" w:hAnsi="Arial" w:cs="Arial"/>
          <w:iCs/>
          <w:sz w:val="24"/>
          <w:szCs w:val="24"/>
        </w:rPr>
        <w:t xml:space="preserve"> F.</w:t>
      </w:r>
      <w:r w:rsidRPr="00ED4D07">
        <w:rPr>
          <w:rFonts w:ascii="Arial" w:hAnsi="Arial" w:cs="Arial"/>
          <w:iCs/>
          <w:sz w:val="24"/>
          <w:szCs w:val="24"/>
          <w:vertAlign w:val="superscript"/>
        </w:rPr>
        <w:t>4</w:t>
      </w:r>
      <w:r w:rsidRPr="00ED4D07">
        <w:rPr>
          <w:rFonts w:ascii="Arial" w:hAnsi="Arial" w:cs="Arial"/>
          <w:iCs/>
          <w:sz w:val="24"/>
          <w:szCs w:val="24"/>
        </w:rPr>
        <w:t>, Dupont</w:t>
      </w:r>
      <w:r w:rsidR="00ED4D07">
        <w:rPr>
          <w:rFonts w:ascii="Arial" w:hAnsi="Arial" w:cs="Arial"/>
          <w:iCs/>
          <w:sz w:val="24"/>
          <w:szCs w:val="24"/>
        </w:rPr>
        <w:t xml:space="preserve"> D.</w:t>
      </w:r>
      <w:r w:rsidRPr="00ED4D07">
        <w:rPr>
          <w:rFonts w:ascii="Arial" w:hAnsi="Arial" w:cs="Arial"/>
          <w:iCs/>
          <w:sz w:val="24"/>
          <w:szCs w:val="24"/>
          <w:vertAlign w:val="superscript"/>
        </w:rPr>
        <w:t>1</w:t>
      </w:r>
      <w:r w:rsidR="00ED4D07">
        <w:rPr>
          <w:rFonts w:ascii="Arial" w:hAnsi="Arial" w:cs="Arial"/>
          <w:iCs/>
          <w:sz w:val="24"/>
          <w:szCs w:val="24"/>
        </w:rPr>
        <w:t>,</w:t>
      </w:r>
      <w:r w:rsidRPr="00ED4D07">
        <w:rPr>
          <w:rFonts w:ascii="Arial" w:hAnsi="Arial" w:cs="Arial"/>
          <w:iCs/>
          <w:sz w:val="24"/>
          <w:szCs w:val="24"/>
        </w:rPr>
        <w:t xml:space="preserve"> Bouhallab</w:t>
      </w:r>
      <w:r w:rsidR="00ED4D07">
        <w:rPr>
          <w:rFonts w:ascii="Arial" w:hAnsi="Arial" w:cs="Arial"/>
          <w:iCs/>
          <w:sz w:val="24"/>
          <w:szCs w:val="24"/>
        </w:rPr>
        <w:t xml:space="preserve"> S.</w:t>
      </w:r>
      <w:r w:rsidRPr="00ED4D07">
        <w:rPr>
          <w:rFonts w:ascii="Arial" w:hAnsi="Arial" w:cs="Arial"/>
          <w:iCs/>
          <w:sz w:val="24"/>
          <w:szCs w:val="24"/>
          <w:vertAlign w:val="superscript"/>
        </w:rPr>
        <w:t>1</w:t>
      </w:r>
      <w:r w:rsidR="00ED4D07">
        <w:rPr>
          <w:rFonts w:ascii="Arial" w:hAnsi="Arial" w:cs="Arial"/>
          <w:iCs/>
          <w:sz w:val="24"/>
          <w:szCs w:val="24"/>
        </w:rPr>
        <w:t>,</w:t>
      </w:r>
      <w:r w:rsidRPr="00ED4D07">
        <w:rPr>
          <w:rFonts w:ascii="Arial" w:hAnsi="Arial" w:cs="Arial"/>
          <w:iCs/>
          <w:sz w:val="24"/>
          <w:szCs w:val="24"/>
        </w:rPr>
        <w:t xml:space="preserve"> Fattaciolli</w:t>
      </w:r>
      <w:r w:rsidR="00ED4D07">
        <w:rPr>
          <w:rFonts w:ascii="Arial" w:hAnsi="Arial" w:cs="Arial"/>
          <w:iCs/>
          <w:sz w:val="24"/>
          <w:szCs w:val="24"/>
        </w:rPr>
        <w:t xml:space="preserve"> J.</w:t>
      </w:r>
      <w:r w:rsidRPr="00ED4D07">
        <w:rPr>
          <w:rFonts w:ascii="Arial" w:hAnsi="Arial" w:cs="Arial"/>
          <w:iCs/>
          <w:sz w:val="24"/>
          <w:szCs w:val="24"/>
          <w:vertAlign w:val="superscript"/>
        </w:rPr>
        <w:t>5</w:t>
      </w:r>
      <w:r w:rsidR="00ED4D07">
        <w:rPr>
          <w:rFonts w:ascii="Arial" w:hAnsi="Arial" w:cs="Arial"/>
          <w:iCs/>
          <w:sz w:val="24"/>
          <w:szCs w:val="24"/>
        </w:rPr>
        <w:t xml:space="preserve">, </w:t>
      </w:r>
      <w:r w:rsidRPr="00ED4D07">
        <w:rPr>
          <w:rFonts w:ascii="Arial" w:hAnsi="Arial" w:cs="Arial"/>
          <w:iCs/>
          <w:sz w:val="24"/>
          <w:szCs w:val="24"/>
        </w:rPr>
        <w:t>Jamme</w:t>
      </w:r>
      <w:r w:rsidR="00ED4D07">
        <w:rPr>
          <w:rFonts w:ascii="Arial" w:hAnsi="Arial" w:cs="Arial"/>
          <w:iCs/>
          <w:sz w:val="24"/>
          <w:szCs w:val="24"/>
        </w:rPr>
        <w:t xml:space="preserve"> F.</w:t>
      </w:r>
      <w:r w:rsidRPr="00ED4D07">
        <w:rPr>
          <w:rFonts w:ascii="Arial" w:hAnsi="Arial" w:cs="Arial"/>
          <w:iCs/>
          <w:sz w:val="24"/>
          <w:szCs w:val="24"/>
          <w:vertAlign w:val="superscript"/>
        </w:rPr>
        <w:t>6</w:t>
      </w:r>
      <w:r w:rsidR="00ED4D07">
        <w:rPr>
          <w:rFonts w:ascii="Arial" w:hAnsi="Arial" w:cs="Arial"/>
          <w:iCs/>
          <w:sz w:val="24"/>
          <w:szCs w:val="24"/>
        </w:rPr>
        <w:t>,</w:t>
      </w:r>
      <w:r w:rsidRPr="00ED4D07">
        <w:rPr>
          <w:rFonts w:ascii="Arial" w:hAnsi="Arial" w:cs="Arial"/>
          <w:iCs/>
          <w:sz w:val="24"/>
          <w:szCs w:val="24"/>
        </w:rPr>
        <w:t xml:space="preserve"> Vié</w:t>
      </w:r>
      <w:r w:rsidR="00ED4D07">
        <w:rPr>
          <w:rFonts w:ascii="Arial" w:hAnsi="Arial" w:cs="Arial"/>
          <w:iCs/>
          <w:sz w:val="24"/>
          <w:szCs w:val="24"/>
        </w:rPr>
        <w:t xml:space="preserve"> V</w:t>
      </w:r>
      <w:r w:rsidRPr="00ED4D07">
        <w:rPr>
          <w:rFonts w:ascii="Arial" w:hAnsi="Arial" w:cs="Arial"/>
          <w:iCs/>
          <w:sz w:val="24"/>
          <w:szCs w:val="24"/>
          <w:vertAlign w:val="superscript"/>
        </w:rPr>
        <w:t>7</w:t>
      </w:r>
    </w:p>
    <w:p w:rsidR="00F2594F" w:rsidRDefault="001C7161" w:rsidP="00F2594F">
      <w:pPr>
        <w:spacing w:after="0" w:line="240" w:lineRule="auto"/>
        <w:rPr>
          <w:rFonts w:ascii="Arial" w:hAnsi="Arial" w:cs="Arial"/>
          <w:i/>
          <w:iCs/>
          <w:sz w:val="24"/>
          <w:szCs w:val="24"/>
        </w:rPr>
      </w:pPr>
      <w:r w:rsidRPr="00F2594F">
        <w:rPr>
          <w:rFonts w:ascii="Arial" w:hAnsi="Arial" w:cs="Arial"/>
          <w:i/>
          <w:iCs/>
          <w:sz w:val="24"/>
          <w:szCs w:val="24"/>
        </w:rPr>
        <w:br/>
      </w:r>
      <w:r w:rsidRPr="00F2594F">
        <w:rPr>
          <w:rFonts w:ascii="Arial" w:hAnsi="Arial" w:cs="Arial"/>
          <w:i/>
          <w:iCs/>
          <w:sz w:val="24"/>
          <w:szCs w:val="24"/>
          <w:vertAlign w:val="superscript"/>
        </w:rPr>
        <w:t>1</w:t>
      </w:r>
      <w:r w:rsidR="00ED4D07">
        <w:rPr>
          <w:rFonts w:ascii="Arial" w:hAnsi="Arial" w:cs="Arial"/>
          <w:i/>
          <w:iCs/>
          <w:sz w:val="24"/>
          <w:szCs w:val="24"/>
          <w:vertAlign w:val="superscript"/>
        </w:rPr>
        <w:t xml:space="preserve"> </w:t>
      </w:r>
      <w:r w:rsidRPr="00F2594F">
        <w:rPr>
          <w:rFonts w:ascii="Arial" w:hAnsi="Arial" w:cs="Arial"/>
          <w:i/>
          <w:iCs/>
          <w:sz w:val="24"/>
          <w:szCs w:val="24"/>
        </w:rPr>
        <w:t>INRA-Agrocampus Ouest UMR 1253 STLO, France;</w:t>
      </w:r>
    </w:p>
    <w:p w:rsidR="00F2594F" w:rsidRDefault="001C7161" w:rsidP="00F2594F">
      <w:pPr>
        <w:spacing w:after="0" w:line="240" w:lineRule="auto"/>
        <w:rPr>
          <w:rFonts w:ascii="Arial" w:hAnsi="Arial" w:cs="Arial"/>
          <w:i/>
          <w:iCs/>
          <w:sz w:val="24"/>
          <w:szCs w:val="24"/>
        </w:rPr>
      </w:pPr>
      <w:r w:rsidRPr="00F2594F">
        <w:rPr>
          <w:rFonts w:ascii="Arial" w:hAnsi="Arial" w:cs="Arial"/>
          <w:i/>
          <w:iCs/>
          <w:sz w:val="24"/>
          <w:szCs w:val="24"/>
          <w:vertAlign w:val="superscript"/>
        </w:rPr>
        <w:t>2</w:t>
      </w:r>
      <w:r w:rsidR="00ED4D07">
        <w:rPr>
          <w:rFonts w:ascii="Arial" w:hAnsi="Arial" w:cs="Arial"/>
          <w:i/>
          <w:iCs/>
          <w:sz w:val="24"/>
          <w:szCs w:val="24"/>
          <w:vertAlign w:val="superscript"/>
        </w:rPr>
        <w:t xml:space="preserve"> </w:t>
      </w:r>
      <w:r w:rsidRPr="00F2594F">
        <w:rPr>
          <w:rFonts w:ascii="Arial" w:hAnsi="Arial" w:cs="Arial"/>
          <w:i/>
          <w:iCs/>
          <w:sz w:val="24"/>
          <w:szCs w:val="24"/>
        </w:rPr>
        <w:t>UMR 782 INRA-AgroParisTech GMPA, France;</w:t>
      </w:r>
    </w:p>
    <w:p w:rsidR="00ED4D07" w:rsidRDefault="001C7161" w:rsidP="00F2594F">
      <w:pPr>
        <w:spacing w:after="0" w:line="240" w:lineRule="auto"/>
        <w:rPr>
          <w:rFonts w:ascii="Arial" w:hAnsi="Arial" w:cs="Arial"/>
          <w:i/>
          <w:iCs/>
          <w:sz w:val="24"/>
          <w:szCs w:val="24"/>
        </w:rPr>
      </w:pPr>
      <w:r w:rsidRPr="00F2594F">
        <w:rPr>
          <w:rFonts w:ascii="Arial" w:hAnsi="Arial" w:cs="Arial"/>
          <w:i/>
          <w:iCs/>
          <w:sz w:val="24"/>
          <w:szCs w:val="24"/>
          <w:vertAlign w:val="superscript"/>
        </w:rPr>
        <w:t xml:space="preserve">3 </w:t>
      </w:r>
      <w:r w:rsidR="00ED4D07">
        <w:rPr>
          <w:rFonts w:ascii="Arial" w:hAnsi="Arial" w:cs="Arial"/>
          <w:i/>
          <w:iCs/>
          <w:sz w:val="24"/>
          <w:szCs w:val="24"/>
          <w:vertAlign w:val="superscript"/>
        </w:rPr>
        <w:t xml:space="preserve"> </w:t>
      </w:r>
      <w:r w:rsidRPr="00F2594F">
        <w:rPr>
          <w:rFonts w:ascii="Arial" w:hAnsi="Arial" w:cs="Arial"/>
          <w:i/>
          <w:iCs/>
          <w:sz w:val="24"/>
          <w:szCs w:val="24"/>
        </w:rPr>
        <w:t>CIRAD/INRA, UMR 1208 IATE, France;</w:t>
      </w:r>
    </w:p>
    <w:p w:rsidR="00DC000E" w:rsidRPr="00F2594F" w:rsidRDefault="001C7161" w:rsidP="00F2594F">
      <w:pPr>
        <w:spacing w:after="0" w:line="240" w:lineRule="auto"/>
        <w:rPr>
          <w:rFonts w:ascii="Arial" w:hAnsi="Arial" w:cs="Arial"/>
          <w:i/>
          <w:iCs/>
          <w:sz w:val="24"/>
          <w:szCs w:val="24"/>
        </w:rPr>
      </w:pPr>
      <w:r w:rsidRPr="00F2594F">
        <w:rPr>
          <w:rFonts w:ascii="Arial" w:hAnsi="Arial" w:cs="Arial"/>
          <w:i/>
          <w:iCs/>
          <w:sz w:val="24"/>
          <w:szCs w:val="24"/>
        </w:rPr>
        <w:t xml:space="preserve"> </w:t>
      </w:r>
      <w:r w:rsidRPr="00F2594F">
        <w:rPr>
          <w:rFonts w:ascii="Arial" w:hAnsi="Arial" w:cs="Arial"/>
          <w:i/>
          <w:iCs/>
          <w:sz w:val="24"/>
          <w:szCs w:val="24"/>
          <w:vertAlign w:val="superscript"/>
        </w:rPr>
        <w:t>4</w:t>
      </w:r>
      <w:r w:rsidR="00ED4D07">
        <w:rPr>
          <w:rFonts w:ascii="Arial" w:hAnsi="Arial" w:cs="Arial"/>
          <w:i/>
          <w:iCs/>
          <w:sz w:val="24"/>
          <w:szCs w:val="24"/>
          <w:vertAlign w:val="superscript"/>
        </w:rPr>
        <w:t xml:space="preserve"> </w:t>
      </w:r>
      <w:r w:rsidRPr="00F2594F">
        <w:rPr>
          <w:rFonts w:ascii="Arial" w:hAnsi="Arial" w:cs="Arial"/>
          <w:i/>
          <w:iCs/>
          <w:sz w:val="24"/>
          <w:szCs w:val="24"/>
        </w:rPr>
        <w:t>CNRS, Aix Marseille University, UMR 7282, France;</w:t>
      </w:r>
    </w:p>
    <w:p w:rsidR="00DC000E" w:rsidRPr="00F2594F" w:rsidRDefault="001C7161" w:rsidP="00F2594F">
      <w:pPr>
        <w:spacing w:after="0" w:line="240" w:lineRule="auto"/>
        <w:rPr>
          <w:rFonts w:ascii="Arial" w:hAnsi="Arial" w:cs="Arial"/>
          <w:i/>
          <w:iCs/>
          <w:sz w:val="24"/>
          <w:szCs w:val="24"/>
        </w:rPr>
      </w:pPr>
      <w:r w:rsidRPr="00F2594F">
        <w:rPr>
          <w:rFonts w:ascii="Arial" w:hAnsi="Arial" w:cs="Arial"/>
          <w:i/>
          <w:iCs/>
          <w:sz w:val="24"/>
          <w:szCs w:val="24"/>
        </w:rPr>
        <w:t xml:space="preserve"> </w:t>
      </w:r>
      <w:r w:rsidRPr="00F2594F">
        <w:rPr>
          <w:rFonts w:ascii="Arial" w:hAnsi="Arial" w:cs="Arial"/>
          <w:i/>
          <w:iCs/>
          <w:sz w:val="24"/>
          <w:szCs w:val="24"/>
          <w:vertAlign w:val="superscript"/>
        </w:rPr>
        <w:t>5</w:t>
      </w:r>
      <w:r w:rsidR="00DC000E" w:rsidRPr="00F2594F">
        <w:rPr>
          <w:rFonts w:ascii="Arial" w:hAnsi="Arial" w:cs="Arial"/>
          <w:i/>
          <w:iCs/>
          <w:sz w:val="24"/>
          <w:szCs w:val="24"/>
        </w:rPr>
        <w:t xml:space="preserve"> ENS UMPC UMR CNRS 8640</w:t>
      </w:r>
      <w:r w:rsidR="00ED4D07">
        <w:rPr>
          <w:rFonts w:ascii="Arial" w:hAnsi="Arial" w:cs="Arial"/>
          <w:i/>
          <w:iCs/>
          <w:sz w:val="24"/>
          <w:szCs w:val="24"/>
        </w:rPr>
        <w:t>, France ;</w:t>
      </w:r>
    </w:p>
    <w:p w:rsidR="00DC000E" w:rsidRPr="00F2594F" w:rsidRDefault="00DC000E" w:rsidP="00F2594F">
      <w:pPr>
        <w:spacing w:after="0" w:line="240" w:lineRule="auto"/>
        <w:rPr>
          <w:rFonts w:ascii="Arial" w:hAnsi="Arial" w:cs="Arial"/>
          <w:i/>
          <w:iCs/>
          <w:sz w:val="24"/>
          <w:szCs w:val="24"/>
        </w:rPr>
      </w:pPr>
      <w:r w:rsidRPr="00F2594F">
        <w:rPr>
          <w:rFonts w:ascii="Arial" w:hAnsi="Arial" w:cs="Arial"/>
          <w:i/>
          <w:iCs/>
          <w:sz w:val="24"/>
          <w:szCs w:val="24"/>
        </w:rPr>
        <w:t xml:space="preserve"> </w:t>
      </w:r>
      <w:r w:rsidRPr="00F2594F">
        <w:rPr>
          <w:rFonts w:ascii="Arial" w:hAnsi="Arial" w:cs="Arial"/>
          <w:i/>
          <w:iCs/>
          <w:sz w:val="24"/>
          <w:szCs w:val="24"/>
          <w:vertAlign w:val="superscript"/>
        </w:rPr>
        <w:t>6</w:t>
      </w:r>
      <w:r w:rsidRPr="00F2594F">
        <w:rPr>
          <w:rFonts w:ascii="Arial" w:hAnsi="Arial" w:cs="Arial"/>
          <w:i/>
          <w:iCs/>
          <w:sz w:val="24"/>
          <w:szCs w:val="24"/>
        </w:rPr>
        <w:t xml:space="preserve"> </w:t>
      </w:r>
      <w:r w:rsidR="001C7161" w:rsidRPr="00F2594F">
        <w:rPr>
          <w:rFonts w:ascii="Arial" w:hAnsi="Arial" w:cs="Arial"/>
          <w:i/>
          <w:iCs/>
          <w:sz w:val="24"/>
          <w:szCs w:val="24"/>
        </w:rPr>
        <w:t>Synchrotron SOLEIL, France;</w:t>
      </w:r>
    </w:p>
    <w:p w:rsidR="001C7161" w:rsidRPr="00F2594F" w:rsidRDefault="001C7161" w:rsidP="00F2594F">
      <w:pPr>
        <w:spacing w:after="0" w:line="240" w:lineRule="auto"/>
        <w:rPr>
          <w:rFonts w:ascii="Arial" w:hAnsi="Arial" w:cs="Arial"/>
          <w:sz w:val="24"/>
          <w:szCs w:val="24"/>
        </w:rPr>
      </w:pPr>
      <w:r w:rsidRPr="00F2594F">
        <w:rPr>
          <w:rFonts w:ascii="Arial" w:hAnsi="Arial" w:cs="Arial"/>
          <w:i/>
          <w:iCs/>
          <w:sz w:val="24"/>
          <w:szCs w:val="24"/>
        </w:rPr>
        <w:t xml:space="preserve"> </w:t>
      </w:r>
      <w:r w:rsidR="00DC000E" w:rsidRPr="00F2594F">
        <w:rPr>
          <w:rFonts w:ascii="Arial" w:hAnsi="Arial" w:cs="Arial"/>
          <w:i/>
          <w:iCs/>
          <w:sz w:val="24"/>
          <w:szCs w:val="24"/>
          <w:vertAlign w:val="superscript"/>
        </w:rPr>
        <w:t>7</w:t>
      </w:r>
      <w:r w:rsidR="00ED4D07">
        <w:rPr>
          <w:rFonts w:ascii="Arial" w:hAnsi="Arial" w:cs="Arial"/>
          <w:i/>
          <w:iCs/>
          <w:sz w:val="24"/>
          <w:szCs w:val="24"/>
          <w:vertAlign w:val="superscript"/>
        </w:rPr>
        <w:t xml:space="preserve"> </w:t>
      </w:r>
      <w:r w:rsidRPr="00F2594F">
        <w:rPr>
          <w:rFonts w:ascii="Arial" w:hAnsi="Arial" w:cs="Arial"/>
          <w:i/>
          <w:iCs/>
          <w:sz w:val="24"/>
          <w:szCs w:val="24"/>
        </w:rPr>
        <w:t>IPR Institute of Physics, Rennes University 1, France;</w:t>
      </w:r>
      <w:r w:rsidRPr="00F2594F">
        <w:rPr>
          <w:rFonts w:ascii="Arial" w:hAnsi="Arial" w:cs="Arial"/>
          <w:sz w:val="24"/>
          <w:szCs w:val="24"/>
        </w:rPr>
        <w:t xml:space="preserve"> </w:t>
      </w:r>
    </w:p>
    <w:p w:rsidR="00DC000E" w:rsidRPr="00F2594F" w:rsidRDefault="00DC000E" w:rsidP="00ED4D07">
      <w:pPr>
        <w:spacing w:after="0" w:line="240" w:lineRule="auto"/>
        <w:ind w:left="720"/>
        <w:jc w:val="center"/>
        <w:rPr>
          <w:rFonts w:ascii="Times New Roman" w:eastAsia="Times New Roman" w:hAnsi="Times New Roman" w:cs="Times New Roman"/>
          <w:sz w:val="24"/>
          <w:szCs w:val="24"/>
          <w:lang w:val="en-US"/>
        </w:rPr>
      </w:pPr>
      <w:r w:rsidRPr="00F2594F">
        <w:rPr>
          <w:rFonts w:ascii="Arial" w:hAnsi="Arial" w:cs="Arial"/>
          <w:sz w:val="24"/>
          <w:szCs w:val="24"/>
          <w:lang w:val="en-US"/>
        </w:rPr>
        <w:t>*claire.bourlieu-lacanal@inra.fr</w:t>
      </w:r>
    </w:p>
    <w:p w:rsidR="00ED4D07" w:rsidRPr="008F612C" w:rsidRDefault="00ED4D07" w:rsidP="00ED4D07">
      <w:pPr>
        <w:pStyle w:val="Default"/>
      </w:pPr>
    </w:p>
    <w:p w:rsidR="008A696C" w:rsidRPr="008F612C" w:rsidRDefault="00ED4D07" w:rsidP="00792109">
      <w:pPr>
        <w:spacing w:after="0" w:line="240" w:lineRule="auto"/>
        <w:jc w:val="both"/>
        <w:rPr>
          <w:rFonts w:ascii="Arial" w:hAnsi="Arial" w:cs="Arial"/>
          <w:sz w:val="24"/>
          <w:szCs w:val="24"/>
          <w:lang w:val="en-US"/>
        </w:rPr>
      </w:pPr>
      <w:r w:rsidRPr="008F612C">
        <w:rPr>
          <w:rFonts w:ascii="Arial" w:hAnsi="Arial" w:cs="Arial"/>
          <w:sz w:val="24"/>
          <w:szCs w:val="24"/>
          <w:lang w:val="en-US"/>
        </w:rPr>
        <w:t xml:space="preserve">In their native state, milk lipids are present in the form of dispersed droplets called Milk Fat Globules (MFG, diameter 0.1-20 </w:t>
      </w:r>
      <w:r w:rsidRPr="008F612C">
        <w:rPr>
          <w:rFonts w:ascii="Arial" w:hAnsi="Arial" w:cs="Arial"/>
          <w:sz w:val="24"/>
          <w:szCs w:val="24"/>
        </w:rPr>
        <w:t>μ</w:t>
      </w:r>
      <w:r w:rsidRPr="008F612C">
        <w:rPr>
          <w:rFonts w:ascii="Arial" w:hAnsi="Arial" w:cs="Arial"/>
          <w:sz w:val="24"/>
          <w:szCs w:val="24"/>
          <w:lang w:val="en-US"/>
        </w:rPr>
        <w:t xml:space="preserve">m, average = 4 </w:t>
      </w:r>
      <w:r w:rsidRPr="008F612C">
        <w:rPr>
          <w:rFonts w:ascii="Arial" w:hAnsi="Arial" w:cs="Arial"/>
          <w:sz w:val="24"/>
          <w:szCs w:val="24"/>
        </w:rPr>
        <w:t>μ</w:t>
      </w:r>
      <w:r w:rsidRPr="008F612C">
        <w:rPr>
          <w:rFonts w:ascii="Arial" w:hAnsi="Arial" w:cs="Arial"/>
          <w:sz w:val="24"/>
          <w:szCs w:val="24"/>
          <w:lang w:val="en-US"/>
        </w:rPr>
        <w:t xml:space="preserve">m in bovine milk) [1,2]. The native MFG is </w:t>
      </w:r>
      <w:r w:rsidR="00792109" w:rsidRPr="008F612C">
        <w:rPr>
          <w:rFonts w:ascii="Arial" w:hAnsi="Arial" w:cs="Arial"/>
          <w:sz w:val="24"/>
          <w:szCs w:val="24"/>
          <w:lang w:val="en-US"/>
        </w:rPr>
        <w:t>constituted by a triglyceride core covered with an</w:t>
      </w:r>
      <w:r w:rsidRPr="008F612C">
        <w:rPr>
          <w:rFonts w:ascii="Arial" w:hAnsi="Arial" w:cs="Arial"/>
          <w:sz w:val="24"/>
          <w:szCs w:val="24"/>
          <w:lang w:val="en-US"/>
        </w:rPr>
        <w:t xml:space="preserve"> external trilayered membrane in</w:t>
      </w:r>
      <w:r w:rsidR="00792109" w:rsidRPr="008F612C">
        <w:rPr>
          <w:rFonts w:ascii="Arial" w:hAnsi="Arial" w:cs="Arial"/>
          <w:sz w:val="24"/>
          <w:szCs w:val="24"/>
          <w:lang w:val="en-US"/>
        </w:rPr>
        <w:t>herited from its secretory past.</w:t>
      </w:r>
      <w:r w:rsidRPr="008F612C">
        <w:rPr>
          <w:rFonts w:ascii="Arial" w:hAnsi="Arial" w:cs="Arial"/>
          <w:sz w:val="24"/>
          <w:szCs w:val="24"/>
          <w:lang w:val="en-US"/>
        </w:rPr>
        <w:t xml:space="preserve"> This membrane is mainly based on polar lipids (glycerop</w:t>
      </w:r>
      <w:r w:rsidR="00792109" w:rsidRPr="008F612C">
        <w:rPr>
          <w:rFonts w:ascii="Arial" w:hAnsi="Arial" w:cs="Arial"/>
          <w:sz w:val="24"/>
          <w:szCs w:val="24"/>
          <w:lang w:val="en-US"/>
        </w:rPr>
        <w:t xml:space="preserve">hospholipids, sphingolipids and </w:t>
      </w:r>
      <w:r w:rsidRPr="008F612C">
        <w:rPr>
          <w:rFonts w:ascii="Arial" w:hAnsi="Arial" w:cs="Arial"/>
          <w:sz w:val="24"/>
          <w:szCs w:val="24"/>
          <w:lang w:val="en-US"/>
        </w:rPr>
        <w:t>glycosphingolipids), proteins (25 % of total membrane with high proportion of glycoproteins and enzymes), neutral lipids and minor components.</w:t>
      </w:r>
      <w:r w:rsidR="00792109" w:rsidRPr="008F612C">
        <w:rPr>
          <w:rFonts w:ascii="Arial" w:hAnsi="Arial" w:cs="Arial"/>
          <w:sz w:val="24"/>
          <w:szCs w:val="24"/>
          <w:lang w:val="en-US"/>
        </w:rPr>
        <w:t xml:space="preserve"> The major biological function of the MFG is to deliver energy to the mammal newborn, for that, the MFG has to be hydrolyzed in the gastro-intestinal tract by lipases, in successive steps. </w:t>
      </w:r>
      <w:r w:rsidR="009C345D" w:rsidRPr="008F612C">
        <w:rPr>
          <w:rFonts w:ascii="Arial" w:hAnsi="Arial" w:cs="Arial"/>
          <w:sz w:val="24"/>
          <w:szCs w:val="24"/>
          <w:lang w:val="en-US"/>
        </w:rPr>
        <w:t xml:space="preserve">The lipases should interact with the MFG membrane and diffuse in the supramolecular object. </w:t>
      </w:r>
      <w:r w:rsidR="00792109" w:rsidRPr="008F612C">
        <w:rPr>
          <w:rFonts w:ascii="Arial" w:hAnsi="Arial" w:cs="Arial"/>
          <w:sz w:val="24"/>
          <w:szCs w:val="24"/>
          <w:lang w:val="en-US"/>
        </w:rPr>
        <w:t>The aim of this work is to determine the mechanism involved in the enzymatic hydrolysis</w:t>
      </w:r>
      <w:r w:rsidR="009C345D" w:rsidRPr="008F612C">
        <w:rPr>
          <w:rFonts w:ascii="Arial" w:hAnsi="Arial" w:cs="Arial"/>
          <w:sz w:val="24"/>
          <w:szCs w:val="24"/>
          <w:lang w:val="en-US"/>
        </w:rPr>
        <w:t xml:space="preserve"> along the digestive process</w:t>
      </w:r>
      <w:r w:rsidR="00225A03" w:rsidRPr="008F612C">
        <w:rPr>
          <w:rFonts w:ascii="Arial" w:hAnsi="Arial" w:cs="Arial"/>
          <w:sz w:val="24"/>
          <w:szCs w:val="24"/>
          <w:lang w:val="en-US"/>
        </w:rPr>
        <w:t>.</w:t>
      </w:r>
    </w:p>
    <w:p w:rsidR="008F612C" w:rsidRPr="008F612C" w:rsidRDefault="00225A03" w:rsidP="00792109">
      <w:pPr>
        <w:spacing w:after="0" w:line="240" w:lineRule="auto"/>
        <w:jc w:val="both"/>
        <w:rPr>
          <w:rFonts w:ascii="Arial" w:hAnsi="Arial" w:cs="Arial"/>
          <w:sz w:val="24"/>
          <w:szCs w:val="24"/>
          <w:lang w:val="en-US"/>
        </w:rPr>
      </w:pPr>
      <w:r w:rsidRPr="008F612C">
        <w:rPr>
          <w:rFonts w:ascii="Arial" w:hAnsi="Arial" w:cs="Arial"/>
          <w:sz w:val="24"/>
          <w:szCs w:val="24"/>
          <w:lang w:val="en-US"/>
        </w:rPr>
        <w:t>Indeed, we use</w:t>
      </w:r>
      <w:r w:rsidR="008A696C" w:rsidRPr="008F612C">
        <w:rPr>
          <w:rFonts w:ascii="Arial" w:hAnsi="Arial" w:cs="Arial"/>
          <w:sz w:val="24"/>
          <w:szCs w:val="24"/>
          <w:lang w:val="en-US"/>
        </w:rPr>
        <w:t>d</w:t>
      </w:r>
      <w:r w:rsidRPr="008F612C">
        <w:rPr>
          <w:rFonts w:ascii="Arial" w:hAnsi="Arial" w:cs="Arial"/>
          <w:sz w:val="24"/>
          <w:szCs w:val="24"/>
          <w:lang w:val="en-US"/>
        </w:rPr>
        <w:t xml:space="preserve"> millifluidic cells designed to bloc </w:t>
      </w:r>
      <w:r w:rsidR="008A696C" w:rsidRPr="008F612C">
        <w:rPr>
          <w:rFonts w:ascii="Arial" w:hAnsi="Arial" w:cs="Arial"/>
          <w:sz w:val="24"/>
          <w:szCs w:val="24"/>
          <w:lang w:val="en-US"/>
        </w:rPr>
        <w:t>MFG and injected successively each</w:t>
      </w:r>
      <w:r w:rsidRPr="008F612C">
        <w:rPr>
          <w:rFonts w:ascii="Arial" w:hAnsi="Arial" w:cs="Arial"/>
          <w:sz w:val="24"/>
          <w:szCs w:val="24"/>
          <w:lang w:val="en-US"/>
        </w:rPr>
        <w:t xml:space="preserve"> </w:t>
      </w:r>
      <w:r w:rsidR="008A696C" w:rsidRPr="008F612C">
        <w:rPr>
          <w:rFonts w:ascii="Arial" w:hAnsi="Arial" w:cs="Arial"/>
          <w:sz w:val="24"/>
          <w:szCs w:val="24"/>
          <w:lang w:val="en-US"/>
        </w:rPr>
        <w:t xml:space="preserve">lipase involved in the digestion process. Thank to the UV-microscope developed on the DISCO beamline, the autofluorescence of tryptophan (and </w:t>
      </w:r>
      <w:r w:rsidR="008F612C" w:rsidRPr="008F612C">
        <w:rPr>
          <w:rFonts w:ascii="Arial" w:hAnsi="Arial" w:cs="Arial"/>
          <w:sz w:val="24"/>
          <w:szCs w:val="24"/>
          <w:lang w:val="en-US"/>
        </w:rPr>
        <w:t>tyrosine</w:t>
      </w:r>
      <w:r w:rsidR="008A696C" w:rsidRPr="008F612C">
        <w:rPr>
          <w:rFonts w:ascii="Arial" w:hAnsi="Arial" w:cs="Arial"/>
          <w:sz w:val="24"/>
          <w:szCs w:val="24"/>
          <w:lang w:val="en-US"/>
        </w:rPr>
        <w:t xml:space="preserve">) </w:t>
      </w:r>
      <w:r w:rsidR="008F612C">
        <w:rPr>
          <w:rFonts w:ascii="Arial" w:hAnsi="Arial" w:cs="Arial"/>
          <w:sz w:val="24"/>
          <w:szCs w:val="24"/>
          <w:lang w:val="en-US"/>
        </w:rPr>
        <w:t xml:space="preserve">present </w:t>
      </w:r>
      <w:r w:rsidR="008A696C" w:rsidRPr="008F612C">
        <w:rPr>
          <w:rFonts w:ascii="Arial" w:hAnsi="Arial" w:cs="Arial"/>
          <w:sz w:val="24"/>
          <w:szCs w:val="24"/>
          <w:lang w:val="en-US"/>
        </w:rPr>
        <w:t xml:space="preserve">in the lipase </w:t>
      </w:r>
      <w:r w:rsidR="008F612C" w:rsidRPr="008F612C">
        <w:rPr>
          <w:rFonts w:ascii="Arial" w:hAnsi="Arial" w:cs="Arial"/>
          <w:sz w:val="24"/>
          <w:szCs w:val="24"/>
          <w:lang w:val="en-US"/>
        </w:rPr>
        <w:t xml:space="preserve">amino-acid </w:t>
      </w:r>
      <w:r w:rsidR="008A696C" w:rsidRPr="008F612C">
        <w:rPr>
          <w:rFonts w:ascii="Arial" w:hAnsi="Arial" w:cs="Arial"/>
          <w:sz w:val="24"/>
          <w:szCs w:val="24"/>
          <w:lang w:val="en-US"/>
        </w:rPr>
        <w:t xml:space="preserve">sequences </w:t>
      </w:r>
      <w:r w:rsidR="008F612C" w:rsidRPr="008F612C">
        <w:rPr>
          <w:rFonts w:ascii="Arial" w:hAnsi="Arial" w:cs="Arial"/>
          <w:sz w:val="24"/>
          <w:szCs w:val="24"/>
          <w:lang w:val="en-US"/>
        </w:rPr>
        <w:t xml:space="preserve">had </w:t>
      </w:r>
      <w:r w:rsidR="008A696C" w:rsidRPr="008F612C">
        <w:rPr>
          <w:rFonts w:ascii="Arial" w:hAnsi="Arial" w:cs="Arial"/>
          <w:sz w:val="24"/>
          <w:szCs w:val="24"/>
          <w:lang w:val="en-US"/>
        </w:rPr>
        <w:t>allowed the protein observation without external labeling.</w:t>
      </w:r>
    </w:p>
    <w:p w:rsidR="008F612C" w:rsidRDefault="008F612C" w:rsidP="00792109">
      <w:pPr>
        <w:spacing w:after="0" w:line="240" w:lineRule="auto"/>
        <w:jc w:val="both"/>
        <w:rPr>
          <w:rFonts w:ascii="Arial" w:hAnsi="Arial" w:cs="Arial"/>
          <w:sz w:val="24"/>
          <w:szCs w:val="24"/>
          <w:lang w:val="en-US"/>
        </w:rPr>
      </w:pPr>
      <w:r w:rsidRPr="008F612C">
        <w:rPr>
          <w:rFonts w:ascii="Arial" w:hAnsi="Arial" w:cs="Arial"/>
          <w:sz w:val="24"/>
          <w:szCs w:val="24"/>
          <w:lang w:val="en-US"/>
        </w:rPr>
        <w:t xml:space="preserve">The gastric and intestinal neonatal disintegration of milk fat globules has been approached through transmission images recording and analysis of the number of globules and their state of aggregation/coalescence during digestion (approached via diameter, size, mode and specific surface evolution against time). </w:t>
      </w:r>
    </w:p>
    <w:p w:rsidR="001C7161" w:rsidRDefault="00CC6C94" w:rsidP="00792109">
      <w:pPr>
        <w:spacing w:after="0" w:line="240" w:lineRule="auto"/>
        <w:jc w:val="both"/>
        <w:rPr>
          <w:rFonts w:ascii="Arial" w:hAnsi="Arial" w:cs="Arial"/>
          <w:sz w:val="24"/>
          <w:szCs w:val="24"/>
          <w:lang w:val="en-US"/>
        </w:rPr>
      </w:pPr>
      <w:r>
        <w:rPr>
          <w:rFonts w:ascii="Arial" w:hAnsi="Arial" w:cs="Arial"/>
          <w:sz w:val="24"/>
          <w:szCs w:val="24"/>
          <w:lang w:val="en-US"/>
        </w:rPr>
        <w:t xml:space="preserve">In this presentation, the first results of these experiments will be showed. Mainly, in the stomach, the gastric lipases bind the MFG surface. Then, the MFG decreased in size in the intestinal phase releasing the intact lipid membrane suggesting that the core is hydrolyzed through the external membrane. </w:t>
      </w:r>
    </w:p>
    <w:p w:rsidR="00CC6C94" w:rsidRDefault="00CC6C94" w:rsidP="00792109">
      <w:pPr>
        <w:spacing w:after="0" w:line="240" w:lineRule="auto"/>
        <w:jc w:val="both"/>
        <w:rPr>
          <w:rFonts w:ascii="Arial" w:hAnsi="Arial" w:cs="Arial"/>
          <w:sz w:val="24"/>
          <w:szCs w:val="24"/>
          <w:lang w:val="en-US"/>
        </w:rPr>
      </w:pPr>
    </w:p>
    <w:p w:rsidR="00CC6C94" w:rsidRPr="00CC6C94" w:rsidRDefault="00CC6C94" w:rsidP="00CC6C94">
      <w:pPr>
        <w:autoSpaceDE w:val="0"/>
        <w:autoSpaceDN w:val="0"/>
        <w:adjustRightInd w:val="0"/>
        <w:spacing w:after="0" w:line="240" w:lineRule="auto"/>
        <w:rPr>
          <w:rFonts w:ascii="Calibri" w:hAnsi="Calibri" w:cs="Calibri"/>
          <w:color w:val="000000"/>
          <w:sz w:val="18"/>
          <w:szCs w:val="18"/>
          <w:lang w:val="en-US"/>
        </w:rPr>
      </w:pPr>
      <w:r w:rsidRPr="00CC6C94">
        <w:rPr>
          <w:rFonts w:ascii="Calibri" w:hAnsi="Calibri" w:cs="Calibri"/>
          <w:color w:val="000000"/>
          <w:sz w:val="18"/>
          <w:szCs w:val="18"/>
          <w:lang w:val="en-US"/>
        </w:rPr>
        <w:t>[1]</w:t>
      </w:r>
      <w:r w:rsidRPr="00CC6C94">
        <w:rPr>
          <w:rFonts w:ascii="Calibri" w:hAnsi="Calibri" w:cs="Calibri"/>
          <w:color w:val="000000"/>
          <w:lang w:val="en-US"/>
        </w:rPr>
        <w:t xml:space="preserve"> </w:t>
      </w:r>
      <w:r w:rsidRPr="00CC6C94">
        <w:rPr>
          <w:rFonts w:ascii="Calibri" w:hAnsi="Calibri" w:cs="Calibri"/>
          <w:color w:val="000000"/>
          <w:sz w:val="18"/>
          <w:szCs w:val="18"/>
          <w:lang w:val="en-US"/>
        </w:rPr>
        <w:t xml:space="preserve">C. Bourlieu, S. Bouhallab, and C. Lopez. Biocatalyzed modifications of milk lipids: applications and potentialities, Trends in Food Science &amp; Technology, 20 (2009) 458-469. </w:t>
      </w:r>
    </w:p>
    <w:p w:rsidR="00CC6C94" w:rsidRPr="008F612C" w:rsidRDefault="00CC6C94" w:rsidP="00CC6C94">
      <w:pPr>
        <w:spacing w:after="0" w:line="240" w:lineRule="auto"/>
        <w:jc w:val="both"/>
        <w:rPr>
          <w:rFonts w:ascii="Arial" w:hAnsi="Arial" w:cs="Arial"/>
          <w:sz w:val="24"/>
          <w:szCs w:val="24"/>
          <w:lang w:val="en-US"/>
        </w:rPr>
      </w:pPr>
      <w:r w:rsidRPr="00CC6C94">
        <w:rPr>
          <w:rFonts w:ascii="Calibri" w:hAnsi="Calibri" w:cs="Calibri"/>
          <w:color w:val="000000"/>
          <w:sz w:val="18"/>
          <w:szCs w:val="18"/>
          <w:lang w:val="en-US"/>
        </w:rPr>
        <w:t xml:space="preserve">[2] C. Bourlieu, and M-C. Michalski. Structure–function relationship of the milk fat globule. </w:t>
      </w:r>
      <w:r w:rsidRPr="00CC6C94">
        <w:rPr>
          <w:rFonts w:ascii="Calibri" w:hAnsi="Calibri" w:cs="Calibri"/>
          <w:color w:val="000000"/>
          <w:sz w:val="18"/>
          <w:szCs w:val="18"/>
        </w:rPr>
        <w:t>Current Opinion in Clinical Nutrition and Metabolic Care 18[2], 118-127. 2015.</w:t>
      </w:r>
    </w:p>
    <w:sectPr w:rsidR="00CC6C94" w:rsidRPr="008F612C" w:rsidSect="0025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55AF"/>
    <w:multiLevelType w:val="multilevel"/>
    <w:tmpl w:val="FF1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3E"/>
    <w:rsid w:val="000B4FA4"/>
    <w:rsid w:val="001C7161"/>
    <w:rsid w:val="00225A03"/>
    <w:rsid w:val="0024603A"/>
    <w:rsid w:val="00253A66"/>
    <w:rsid w:val="0030773E"/>
    <w:rsid w:val="00662270"/>
    <w:rsid w:val="006C5782"/>
    <w:rsid w:val="00792109"/>
    <w:rsid w:val="00831943"/>
    <w:rsid w:val="008A696C"/>
    <w:rsid w:val="008F612C"/>
    <w:rsid w:val="009C345D"/>
    <w:rsid w:val="00C71313"/>
    <w:rsid w:val="00CC6C94"/>
    <w:rsid w:val="00DC000E"/>
    <w:rsid w:val="00ED4D07"/>
    <w:rsid w:val="00F2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773E"/>
    <w:rPr>
      <w:b/>
      <w:bCs/>
    </w:rPr>
  </w:style>
  <w:style w:type="paragraph" w:customStyle="1" w:styleId="Default">
    <w:name w:val="Default"/>
    <w:rsid w:val="00ED4D0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773E"/>
    <w:rPr>
      <w:b/>
      <w:bCs/>
    </w:rPr>
  </w:style>
  <w:style w:type="paragraph" w:customStyle="1" w:styleId="Default">
    <w:name w:val="Default"/>
    <w:rsid w:val="00ED4D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519">
      <w:bodyDiv w:val="1"/>
      <w:marLeft w:val="0"/>
      <w:marRight w:val="0"/>
      <w:marTop w:val="0"/>
      <w:marBottom w:val="0"/>
      <w:divBdr>
        <w:top w:val="none" w:sz="0" w:space="0" w:color="auto"/>
        <w:left w:val="none" w:sz="0" w:space="0" w:color="auto"/>
        <w:bottom w:val="none" w:sz="0" w:space="0" w:color="auto"/>
        <w:right w:val="none" w:sz="0" w:space="0" w:color="auto"/>
      </w:divBdr>
    </w:div>
    <w:div w:id="6237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Claire BOURLIEU-LACANAL</cp:lastModifiedBy>
  <cp:revision>2</cp:revision>
  <dcterms:created xsi:type="dcterms:W3CDTF">2018-08-29T13:07:00Z</dcterms:created>
  <dcterms:modified xsi:type="dcterms:W3CDTF">2018-08-29T13:07:00Z</dcterms:modified>
</cp:coreProperties>
</file>