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Pr="00287B5A" w:rsidRDefault="009A04B4" w:rsidP="00287B5A">
      <w:pPr>
        <w:pStyle w:val="Titre"/>
      </w:pPr>
      <w:r w:rsidRPr="009A04B4">
        <w:t>Modélisation Electrothermique distribuée d’une puce IGBT : Application aux effets du vieillissement de la métallisation s</w:t>
      </w:r>
      <w:r>
        <w:t>ur les régimes de court-circuit</w:t>
      </w:r>
    </w:p>
    <w:p w:rsidR="008A55B5" w:rsidRPr="00B214D3" w:rsidRDefault="000F6C04">
      <w:pPr>
        <w:pStyle w:val="Nom"/>
        <w:rPr>
          <w:rFonts w:eastAsia="MS Mincho"/>
        </w:rPr>
      </w:pPr>
      <w:r>
        <w:t>Jeff</w:t>
      </w:r>
      <w:r w:rsidR="00B84A79">
        <w:t xml:space="preserve"> </w:t>
      </w:r>
      <w:r>
        <w:t>MOUSSODJI</w:t>
      </w:r>
      <w:r w:rsidRPr="00D55EB3">
        <w:rPr>
          <w:vertAlign w:val="superscript"/>
        </w:rPr>
        <w:t>a</w:t>
      </w:r>
      <w:r>
        <w:t>, Thierry. KOCINIEWSKI</w:t>
      </w:r>
      <w:r w:rsidRPr="00D55EB3">
        <w:rPr>
          <w:vertAlign w:val="superscript"/>
        </w:rPr>
        <w:t>a</w:t>
      </w:r>
      <w:r>
        <w:rPr>
          <w:vertAlign w:val="superscript"/>
        </w:rPr>
        <w:t>,</w:t>
      </w:r>
      <w:r w:rsidRPr="00D55EB3">
        <w:rPr>
          <w:vertAlign w:val="superscript"/>
        </w:rPr>
        <w:t>b</w:t>
      </w:r>
      <w:r>
        <w:t>, Zoubir KHATIR</w:t>
      </w:r>
      <w:r w:rsidRPr="00D55EB3">
        <w:rPr>
          <w:vertAlign w:val="superscript"/>
        </w:rPr>
        <w:t>a</w:t>
      </w:r>
    </w:p>
    <w:p w:rsidR="009A04B4" w:rsidRPr="005F1D02" w:rsidRDefault="009A04B4" w:rsidP="009A04B4">
      <w:pPr>
        <w:pStyle w:val="Default"/>
        <w:jc w:val="center"/>
        <w:rPr>
          <w:sz w:val="20"/>
          <w:szCs w:val="20"/>
        </w:rPr>
      </w:pPr>
      <w:r w:rsidRPr="005F1D02">
        <w:rPr>
          <w:sz w:val="20"/>
          <w:szCs w:val="20"/>
          <w:vertAlign w:val="superscript"/>
        </w:rPr>
        <w:t>a</w:t>
      </w:r>
      <w:r w:rsidRPr="005F1D02">
        <w:rPr>
          <w:sz w:val="20"/>
          <w:szCs w:val="20"/>
        </w:rPr>
        <w:t xml:space="preserve">LTN, Laboratoire des </w:t>
      </w:r>
      <w:r>
        <w:rPr>
          <w:sz w:val="20"/>
          <w:szCs w:val="20"/>
        </w:rPr>
        <w:t>T</w:t>
      </w:r>
      <w:r w:rsidRPr="005F1D02">
        <w:rPr>
          <w:sz w:val="20"/>
          <w:szCs w:val="20"/>
        </w:rPr>
        <w:t xml:space="preserve">echnologies </w:t>
      </w:r>
      <w:r>
        <w:rPr>
          <w:sz w:val="20"/>
          <w:szCs w:val="20"/>
        </w:rPr>
        <w:t>N</w:t>
      </w:r>
      <w:r w:rsidRPr="005F1D02">
        <w:rPr>
          <w:sz w:val="20"/>
          <w:szCs w:val="20"/>
        </w:rPr>
        <w:t xml:space="preserve">ouvelles </w:t>
      </w:r>
      <w:r>
        <w:rPr>
          <w:sz w:val="20"/>
          <w:szCs w:val="20"/>
        </w:rPr>
        <w:t>de l'</w:t>
      </w:r>
      <w:r w:rsidRPr="005F1D02">
        <w:rPr>
          <w:sz w:val="20"/>
          <w:szCs w:val="20"/>
        </w:rPr>
        <w:t>IFSTTAR.</w:t>
      </w:r>
    </w:p>
    <w:p w:rsidR="009A04B4" w:rsidRPr="005F1D02" w:rsidRDefault="009A04B4" w:rsidP="009A04B4">
      <w:pPr>
        <w:pStyle w:val="Default"/>
        <w:jc w:val="center"/>
        <w:rPr>
          <w:sz w:val="20"/>
          <w:szCs w:val="20"/>
        </w:rPr>
      </w:pPr>
      <w:r w:rsidRPr="005F1D02">
        <w:rPr>
          <w:sz w:val="20"/>
          <w:szCs w:val="20"/>
        </w:rPr>
        <w:t>25 allée des Marronniers, 78000 Versailles Satory, France.</w:t>
      </w:r>
    </w:p>
    <w:p w:rsidR="009A04B4" w:rsidRPr="005F1D02" w:rsidRDefault="009A04B4" w:rsidP="009A04B4">
      <w:pPr>
        <w:pStyle w:val="Default"/>
        <w:jc w:val="center"/>
        <w:rPr>
          <w:sz w:val="20"/>
          <w:szCs w:val="20"/>
        </w:rPr>
      </w:pPr>
      <w:r w:rsidRPr="005F1D02">
        <w:rPr>
          <w:sz w:val="20"/>
          <w:szCs w:val="20"/>
          <w:vertAlign w:val="superscript"/>
        </w:rPr>
        <w:t>b</w:t>
      </w:r>
      <w:r w:rsidRPr="005F1D02">
        <w:rPr>
          <w:sz w:val="20"/>
          <w:szCs w:val="20"/>
        </w:rPr>
        <w:t xml:space="preserve">Groupe d’Etude de la Matière Condensée (CNRS </w:t>
      </w:r>
      <w:r>
        <w:rPr>
          <w:sz w:val="20"/>
          <w:szCs w:val="20"/>
        </w:rPr>
        <w:t>et Université</w:t>
      </w:r>
      <w:r w:rsidR="008D1344">
        <w:rPr>
          <w:sz w:val="20"/>
          <w:szCs w:val="20"/>
        </w:rPr>
        <w:t xml:space="preserve"> </w:t>
      </w:r>
      <w:r>
        <w:rPr>
          <w:sz w:val="20"/>
          <w:szCs w:val="20"/>
        </w:rPr>
        <w:t>de</w:t>
      </w:r>
      <w:r w:rsidRPr="005F1D02">
        <w:rPr>
          <w:sz w:val="20"/>
          <w:szCs w:val="20"/>
        </w:rPr>
        <w:t xml:space="preserve"> Versailles St Quentin), </w:t>
      </w:r>
    </w:p>
    <w:p w:rsidR="009A04B4" w:rsidRDefault="009A04B4" w:rsidP="009A04B4">
      <w:pPr>
        <w:pStyle w:val="Default"/>
        <w:jc w:val="center"/>
        <w:rPr>
          <w:sz w:val="20"/>
          <w:szCs w:val="20"/>
        </w:rPr>
      </w:pPr>
      <w:r w:rsidRPr="005F1D02">
        <w:rPr>
          <w:sz w:val="20"/>
          <w:szCs w:val="20"/>
        </w:rPr>
        <w:t xml:space="preserve">45 avenue des Etats-Unis, 78035 Versailles cedex, </w:t>
      </w:r>
      <w:r>
        <w:rPr>
          <w:sz w:val="20"/>
          <w:szCs w:val="20"/>
        </w:rPr>
        <w:t>France</w:t>
      </w:r>
    </w:p>
    <w:p w:rsidR="009A04B4" w:rsidRPr="005F1D02" w:rsidRDefault="009A04B4" w:rsidP="009A04B4">
      <w:pPr>
        <w:pStyle w:val="Default"/>
        <w:jc w:val="center"/>
        <w:rPr>
          <w:sz w:val="20"/>
          <w:szCs w:val="20"/>
        </w:rPr>
      </w:pPr>
    </w:p>
    <w:p w:rsidR="009A04B4" w:rsidRPr="00500334" w:rsidRDefault="009A04B4" w:rsidP="009A04B4">
      <w:pPr>
        <w:pStyle w:val="Notedebasdepage"/>
        <w:jc w:val="center"/>
        <w:rPr>
          <w:lang w:val="fr-FR"/>
        </w:rPr>
      </w:pPr>
      <w:r w:rsidRPr="00500334">
        <w:rPr>
          <w:lang w:val="fr-FR"/>
        </w:rPr>
        <w:t>Tel.: +33 (0)1 30844006.</w:t>
      </w:r>
    </w:p>
    <w:p w:rsidR="008A55B5" w:rsidRPr="009A04B4" w:rsidRDefault="009A04B4" w:rsidP="009A04B4">
      <w:pPr>
        <w:pStyle w:val="Default"/>
        <w:jc w:val="center"/>
        <w:rPr>
          <w:color w:val="auto"/>
          <w:sz w:val="20"/>
          <w:szCs w:val="20"/>
        </w:rPr>
      </w:pPr>
      <w:r w:rsidRPr="00500334">
        <w:rPr>
          <w:color w:val="auto"/>
          <w:sz w:val="20"/>
          <w:szCs w:val="20"/>
        </w:rPr>
        <w:t xml:space="preserve">Fax: </w:t>
      </w:r>
      <w:r w:rsidRPr="00500334">
        <w:rPr>
          <w:color w:val="auto"/>
          <w:sz w:val="20"/>
          <w:szCs w:val="20"/>
          <w:shd w:val="clear" w:color="auto" w:fill="FFFFFF"/>
        </w:rPr>
        <w:t>+33</w:t>
      </w:r>
      <w:r w:rsidRPr="00500334">
        <w:rPr>
          <w:rStyle w:val="apple-converted-space"/>
          <w:color w:val="auto"/>
          <w:sz w:val="20"/>
          <w:szCs w:val="20"/>
          <w:shd w:val="clear" w:color="auto" w:fill="FFFFFF"/>
        </w:rPr>
        <w:t>(0)</w:t>
      </w:r>
      <w:hyperlink r:id="rId8" w:history="1">
        <w:r w:rsidRPr="00500334">
          <w:rPr>
            <w:rStyle w:val="Lienhypertexte"/>
            <w:color w:val="auto"/>
            <w:sz w:val="20"/>
            <w:szCs w:val="20"/>
            <w:shd w:val="clear" w:color="auto" w:fill="FFFFFF"/>
          </w:rPr>
          <w:t>130844001</w:t>
        </w:r>
      </w:hyperlink>
      <w:r w:rsidRPr="00500334">
        <w:rPr>
          <w:rStyle w:val="Lienhypertexte"/>
          <w:color w:val="auto"/>
          <w:sz w:val="20"/>
          <w:szCs w:val="20"/>
          <w:shd w:val="clear" w:color="auto" w:fill="FFFFFF"/>
        </w:rPr>
        <w:t>.</w:t>
      </w:r>
      <w:r w:rsidRPr="00500334">
        <w:rPr>
          <w:color w:val="auto"/>
          <w:sz w:val="20"/>
          <w:szCs w:val="20"/>
        </w:rPr>
        <w:br/>
        <w:t>E-Mail: jeff.moussodji@ifsttar.fr</w:t>
      </w:r>
    </w:p>
    <w:p w:rsidR="008A55B5" w:rsidRPr="00CE4CA5" w:rsidRDefault="008A55B5" w:rsidP="0098647E"/>
    <w:p w:rsidR="008A55B5" w:rsidRPr="00CE4CA5" w:rsidRDefault="008A55B5" w:rsidP="0098647E">
      <w:pPr>
        <w:sectPr w:rsidR="008A55B5" w:rsidRPr="00CE4CA5" w:rsidSect="00FC4009">
          <w:headerReference w:type="default" r:id="rId9"/>
          <w:headerReference w:type="first" r:id="rId10"/>
          <w:type w:val="continuous"/>
          <w:pgSz w:w="11909" w:h="16834" w:code="9"/>
          <w:pgMar w:top="1080" w:right="734" w:bottom="2434" w:left="734" w:header="720" w:footer="720" w:gutter="0"/>
          <w:cols w:space="227"/>
          <w:titlePg/>
          <w:docGrid w:linePitch="360"/>
        </w:sectPr>
      </w:pPr>
    </w:p>
    <w:p w:rsidR="00FE24C8" w:rsidRPr="008D1344" w:rsidRDefault="00A557AC" w:rsidP="00323067">
      <w:pPr>
        <w:pStyle w:val="Rsum"/>
        <w:ind w:firstLine="0"/>
      </w:pPr>
      <w:r w:rsidRPr="008D1344">
        <w:rPr>
          <w:rFonts w:eastAsia="MS Mincho"/>
        </w:rPr>
        <w:lastRenderedPageBreak/>
        <w:t>RESUME</w:t>
      </w:r>
      <w:r w:rsidRPr="008D1344">
        <w:rPr>
          <w:rFonts w:eastAsia="MS Mincho"/>
          <w:b w:val="0"/>
          <w:iCs/>
        </w:rPr>
        <w:t xml:space="preserve"> -</w:t>
      </w:r>
      <w:r w:rsidR="00CE4CA5" w:rsidRPr="008D1344">
        <w:t>Un modèle électrothermique distribué</w:t>
      </w:r>
      <w:r w:rsidR="00DA6B74" w:rsidRPr="008D1344">
        <w:t xml:space="preserve"> </w:t>
      </w:r>
      <w:r w:rsidR="00CE4CA5" w:rsidRPr="008D1344">
        <w:t xml:space="preserve">d’une puce IGBT a été </w:t>
      </w:r>
      <w:r w:rsidR="00784C04" w:rsidRPr="008D1344">
        <w:t xml:space="preserve">développé afin de </w:t>
      </w:r>
      <w:r w:rsidR="00C61B4F" w:rsidRPr="008D1344">
        <w:t>mettre en évidence</w:t>
      </w:r>
      <w:r w:rsidR="00E5142B" w:rsidRPr="008D1344">
        <w:t xml:space="preserve"> </w:t>
      </w:r>
      <w:r w:rsidR="00784C04" w:rsidRPr="008D1344">
        <w:t xml:space="preserve">par simulation </w:t>
      </w:r>
      <w:r w:rsidR="00E5142B" w:rsidRPr="008D1344">
        <w:t>le</w:t>
      </w:r>
      <w:r w:rsidR="00784C04" w:rsidRPr="008D1344">
        <w:t xml:space="preserve"> phénomène de latch</w:t>
      </w:r>
      <w:r w:rsidR="00DA6B74" w:rsidRPr="008D1344">
        <w:t>-</w:t>
      </w:r>
      <w:r w:rsidR="00784C04" w:rsidRPr="008D1344">
        <w:t>up dynamique observé expérimentalement</w:t>
      </w:r>
      <w:r w:rsidR="00E5142B" w:rsidRPr="008D1344">
        <w:t xml:space="preserve"> </w:t>
      </w:r>
      <w:r w:rsidR="00784C04" w:rsidRPr="008D1344">
        <w:t>lors de la coupure d'un courant de court-circuit sur ces composants</w:t>
      </w:r>
      <w:r w:rsidR="00CE4CA5" w:rsidRPr="008D1344">
        <w:t xml:space="preserve">. </w:t>
      </w:r>
      <w:r w:rsidR="00784C04" w:rsidRPr="008D1344">
        <w:t xml:space="preserve">Ce modèle est basé sur un couplage </w:t>
      </w:r>
      <w:r w:rsidR="00FE24C8" w:rsidRPr="008D1344">
        <w:t>d'un réseau thermique de Cauer 3D et d'un réseau de macro-cellules IGBT, chacune sur la base du modèle électro-thermique IGBT d</w:t>
      </w:r>
      <w:r w:rsidR="00E5142B" w:rsidRPr="008D1344">
        <w:t xml:space="preserve">e </w:t>
      </w:r>
      <w:r w:rsidR="00FE24C8" w:rsidRPr="008D1344">
        <w:t>Hefner, représentant la puce discrétisée spatialement.</w:t>
      </w:r>
      <w:r w:rsidR="00DA6B74" w:rsidRPr="008D1344">
        <w:t xml:space="preserve"> </w:t>
      </w:r>
      <w:r w:rsidR="00FE24C8" w:rsidRPr="008D1344">
        <w:t>Le modèle</w:t>
      </w:r>
      <w:r w:rsidR="00E5142B" w:rsidRPr="008D1344">
        <w:t xml:space="preserve"> d’IGBT de</w:t>
      </w:r>
      <w:r w:rsidR="00FE24C8" w:rsidRPr="008D1344">
        <w:t xml:space="preserve"> Hefner a été modifié pour pouvoir prendre en compte l'effet du latch</w:t>
      </w:r>
      <w:r w:rsidR="00DA6B74" w:rsidRPr="008D1344">
        <w:t>-</w:t>
      </w:r>
      <w:r w:rsidR="00FE24C8" w:rsidRPr="008D1344">
        <w:t>up. Le couplage est direct et fonctionne sous l'environnement Simplorer en VHDL-AMS.</w:t>
      </w:r>
      <w:r w:rsidR="00E5142B" w:rsidRPr="008D1344">
        <w:t xml:space="preserve"> </w:t>
      </w:r>
      <w:r w:rsidR="00C61B4F" w:rsidRPr="008D1344">
        <w:t>L</w:t>
      </w:r>
      <w:r w:rsidR="00FE24C8" w:rsidRPr="008D1344">
        <w:t xml:space="preserve">e modèle a été utilisé pour </w:t>
      </w:r>
      <w:r w:rsidR="00C61B4F" w:rsidRPr="008D1344">
        <w:t xml:space="preserve">rendre compte de l'impact </w:t>
      </w:r>
      <w:r w:rsidR="00FE24C8" w:rsidRPr="008D1344">
        <w:t xml:space="preserve">du vieillissement </w:t>
      </w:r>
      <w:r w:rsidR="00C61B4F" w:rsidRPr="008D1344">
        <w:t xml:space="preserve">de la métallisation </w:t>
      </w:r>
      <w:r w:rsidR="00E5142B" w:rsidRPr="008D1344">
        <w:t xml:space="preserve">d’émetteur </w:t>
      </w:r>
      <w:r w:rsidR="00C61B4F" w:rsidRPr="008D1344">
        <w:t>de la puce sur la redistribution des températures et des courants entre macro-cellules lors du phénomène de court-circuit. Il a également été utilisé pour montrer l'influence éventuelle de ce même vieillissement sur le phénomène de</w:t>
      </w:r>
      <w:r w:rsidR="00E5142B" w:rsidRPr="008D1344">
        <w:t xml:space="preserve"> </w:t>
      </w:r>
      <w:r w:rsidR="00C61B4F" w:rsidRPr="008D1344">
        <w:t>latch</w:t>
      </w:r>
      <w:r w:rsidR="00DA6B74" w:rsidRPr="008D1344">
        <w:t>-</w:t>
      </w:r>
      <w:r w:rsidR="00C61B4F" w:rsidRPr="008D1344">
        <w:t>up dynamique.</w:t>
      </w:r>
    </w:p>
    <w:p w:rsidR="008A55B5" w:rsidRPr="000F6C04" w:rsidRDefault="00A557AC" w:rsidP="00186F25">
      <w:pPr>
        <w:pStyle w:val="Mots-cls"/>
        <w:rPr>
          <w:rFonts w:eastAsia="MS Mincho"/>
        </w:rPr>
      </w:pPr>
      <w:r w:rsidRPr="000F6C04">
        <w:rPr>
          <w:rFonts w:eastAsia="MS Mincho"/>
        </w:rPr>
        <w:t>Mots-clés</w:t>
      </w:r>
      <w:r w:rsidR="0072064C" w:rsidRPr="000F6C04">
        <w:rPr>
          <w:rFonts w:eastAsia="MS Mincho"/>
        </w:rPr>
        <w:t>—</w:t>
      </w:r>
      <w:r w:rsidR="00B35E15">
        <w:t xml:space="preserve">Modèle électrothermique, </w:t>
      </w:r>
      <w:r w:rsidR="000F6C04" w:rsidRPr="000F6C04">
        <w:t>IGBT, Court-circuit, Vieillissement de la métallisation, Latch-up dynamique</w:t>
      </w:r>
      <w:r w:rsidR="00F67897" w:rsidRPr="000F6C04">
        <w:rPr>
          <w:rFonts w:eastAsia="MS Mincho"/>
        </w:rPr>
        <w:t>.</w:t>
      </w:r>
    </w:p>
    <w:p w:rsidR="00D340E6" w:rsidRDefault="00541E4E" w:rsidP="00022418">
      <w:pPr>
        <w:pStyle w:val="Titre1"/>
      </w:pPr>
      <w:r>
        <w:t>Introduction</w:t>
      </w:r>
    </w:p>
    <w:p w:rsidR="006163D0" w:rsidRDefault="000F6C04" w:rsidP="0098647E">
      <w:pPr>
        <w:rPr>
          <w:spacing w:val="-2"/>
        </w:rPr>
      </w:pPr>
      <w:r w:rsidRPr="004F64B9">
        <w:rPr>
          <w:spacing w:val="-2"/>
        </w:rPr>
        <w:t xml:space="preserve">Les composants de puissance (IGBT, MOSFET, diode…), largement utilisés dans l’industrie de l’électronique de puissance pour les applications de traction, souffrent de limitations liées à leur fiabilité. </w:t>
      </w:r>
      <w:r>
        <w:rPr>
          <w:spacing w:val="-2"/>
        </w:rPr>
        <w:t>De plus,</w:t>
      </w:r>
      <w:r w:rsidRPr="004F64B9">
        <w:rPr>
          <w:spacing w:val="-2"/>
        </w:rPr>
        <w:t xml:space="preserve"> une exigence de robustesse est</w:t>
      </w:r>
      <w:r>
        <w:rPr>
          <w:spacing w:val="-2"/>
        </w:rPr>
        <w:t xml:space="preserve"> de plus en plus</w:t>
      </w:r>
      <w:r w:rsidRPr="004F64B9">
        <w:rPr>
          <w:spacing w:val="-2"/>
        </w:rPr>
        <w:t xml:space="preserve"> demandée dans tous les domaines d’application de ces composants. Parmi les moyens mis en place pour pallier ces problèmes, on note</w:t>
      </w:r>
      <w:r>
        <w:rPr>
          <w:spacing w:val="-2"/>
        </w:rPr>
        <w:t xml:space="preserve"> d’une part,</w:t>
      </w:r>
      <w:r w:rsidRPr="004F64B9">
        <w:rPr>
          <w:spacing w:val="-2"/>
        </w:rPr>
        <w:t xml:space="preserve"> les méthodes empiriques d’optimisation, souvent très coûteuse</w:t>
      </w:r>
      <w:r>
        <w:rPr>
          <w:spacing w:val="-2"/>
        </w:rPr>
        <w:t>s et nécessitant d’énormes moyens techniques.</w:t>
      </w:r>
      <w:r w:rsidR="00DA6B74">
        <w:rPr>
          <w:spacing w:val="-2"/>
        </w:rPr>
        <w:t xml:space="preserve"> </w:t>
      </w:r>
      <w:r>
        <w:rPr>
          <w:spacing w:val="-2"/>
        </w:rPr>
        <w:t xml:space="preserve">D’autre part, </w:t>
      </w:r>
      <w:r w:rsidRPr="004F64B9">
        <w:rPr>
          <w:spacing w:val="-2"/>
        </w:rPr>
        <w:t>les méthodes</w:t>
      </w:r>
      <w:r>
        <w:rPr>
          <w:spacing w:val="-2"/>
        </w:rPr>
        <w:t xml:space="preserve"> numériques, </w:t>
      </w:r>
      <w:r w:rsidRPr="004F64B9">
        <w:rPr>
          <w:spacing w:val="-2"/>
        </w:rPr>
        <w:t>beaucoup plus souples</w:t>
      </w:r>
      <w:r>
        <w:rPr>
          <w:spacing w:val="-2"/>
        </w:rPr>
        <w:t xml:space="preserve"> et basées sur</w:t>
      </w:r>
      <w:r w:rsidRPr="004F64B9">
        <w:rPr>
          <w:spacing w:val="-2"/>
        </w:rPr>
        <w:t xml:space="preserve"> de</w:t>
      </w:r>
      <w:r>
        <w:rPr>
          <w:spacing w:val="-2"/>
        </w:rPr>
        <w:t>s</w:t>
      </w:r>
      <w:r w:rsidRPr="004F64B9">
        <w:rPr>
          <w:spacing w:val="-2"/>
        </w:rPr>
        <w:t xml:space="preserve"> modélis</w:t>
      </w:r>
      <w:r>
        <w:rPr>
          <w:spacing w:val="-2"/>
        </w:rPr>
        <w:t>ations et simulations</w:t>
      </w:r>
      <w:r w:rsidRPr="004F64B9">
        <w:rPr>
          <w:spacing w:val="-2"/>
        </w:rPr>
        <w:t xml:space="preserve">. L’approche par modélisation occupe </w:t>
      </w:r>
      <w:r>
        <w:rPr>
          <w:spacing w:val="-2"/>
        </w:rPr>
        <w:t xml:space="preserve">naturellement </w:t>
      </w:r>
      <w:r w:rsidRPr="004F64B9">
        <w:rPr>
          <w:spacing w:val="-2"/>
        </w:rPr>
        <w:t xml:space="preserve">une place prépondérante en raison d’une part de </w:t>
      </w:r>
      <w:r>
        <w:rPr>
          <w:spacing w:val="-2"/>
        </w:rPr>
        <w:t>leurs</w:t>
      </w:r>
      <w:r w:rsidRPr="004F64B9">
        <w:rPr>
          <w:spacing w:val="-2"/>
        </w:rPr>
        <w:t xml:space="preserve"> faibles coûts, mais aussi</w:t>
      </w:r>
      <w:r>
        <w:rPr>
          <w:spacing w:val="-2"/>
        </w:rPr>
        <w:t xml:space="preserve"> du fait que</w:t>
      </w:r>
      <w:r w:rsidRPr="004F64B9">
        <w:rPr>
          <w:spacing w:val="-2"/>
        </w:rPr>
        <w:t xml:space="preserve"> leur utilisation réduit de façon significative le nombre d’expériences. </w:t>
      </w:r>
      <w:r>
        <w:rPr>
          <w:spacing w:val="-2"/>
        </w:rPr>
        <w:t>Par ailleurs</w:t>
      </w:r>
      <w:r w:rsidRPr="004F64B9">
        <w:rPr>
          <w:spacing w:val="-2"/>
        </w:rPr>
        <w:t xml:space="preserve">, une analyse fine des phénomènes liés aux défaillances peut </w:t>
      </w:r>
      <w:r>
        <w:rPr>
          <w:spacing w:val="-2"/>
        </w:rPr>
        <w:t>aider à</w:t>
      </w:r>
      <w:r w:rsidRPr="004F64B9">
        <w:rPr>
          <w:spacing w:val="-2"/>
        </w:rPr>
        <w:t xml:space="preserve"> une maîtrise de la fiabilité de ces dispositifs. Toutefois, ces phénomènes impliquent des couplages entre des effets électriques et thermiques et/ou mécaniques, qui rendent leur </w:t>
      </w:r>
      <w:r w:rsidRPr="004F64B9">
        <w:rPr>
          <w:spacing w:val="-2"/>
        </w:rPr>
        <w:lastRenderedPageBreak/>
        <w:t>étude très complexe</w:t>
      </w:r>
      <w:r>
        <w:rPr>
          <w:spacing w:val="-2"/>
        </w:rPr>
        <w:t xml:space="preserve">, </w:t>
      </w:r>
      <w:r w:rsidRPr="001E37C3">
        <w:rPr>
          <w:spacing w:val="-2"/>
        </w:rPr>
        <w:t xml:space="preserve">notamment dans les puces IGBT au sein desquelles les phénomènes électriques qui sont conditionnés par </w:t>
      </w:r>
      <w:r w:rsidR="00DA2BC2" w:rsidRPr="001E37C3">
        <w:rPr>
          <w:spacing w:val="-2"/>
        </w:rPr>
        <w:t xml:space="preserve">la topologie interne de la puce, </w:t>
      </w:r>
      <w:r w:rsidRPr="001E37C3">
        <w:rPr>
          <w:spacing w:val="-2"/>
        </w:rPr>
        <w:t>sont largement affectés par la température. La température résulte de la dissipation de puissance dans les puces mais aussi de l’environnement de la puce. A ce jour, de</w:t>
      </w:r>
      <w:r w:rsidR="00DA2BC2" w:rsidRPr="001E37C3">
        <w:rPr>
          <w:spacing w:val="-2"/>
        </w:rPr>
        <w:t>s</w:t>
      </w:r>
      <w:r w:rsidRPr="001E37C3">
        <w:rPr>
          <w:spacing w:val="-2"/>
        </w:rPr>
        <w:t xml:space="preserve"> grandes difficultés demeurent quant à la caractérisation expérimentale des distributions de courant à la surface de la puce, ainsi </w:t>
      </w:r>
      <w:r w:rsidRPr="004F64B9">
        <w:rPr>
          <w:spacing w:val="-2"/>
        </w:rPr>
        <w:t xml:space="preserve">le recours à la modélisation multi-physique est alors d'un grand secours. En effet, </w:t>
      </w:r>
      <w:r>
        <w:rPr>
          <w:spacing w:val="-2"/>
        </w:rPr>
        <w:t>l'</w:t>
      </w:r>
      <w:r w:rsidRPr="004F64B9">
        <w:rPr>
          <w:spacing w:val="-2"/>
        </w:rPr>
        <w:t>approche</w:t>
      </w:r>
      <w:r>
        <w:rPr>
          <w:spacing w:val="-2"/>
        </w:rPr>
        <w:t xml:space="preserve"> numérique reste le seul moyen</w:t>
      </w:r>
      <w:r w:rsidRPr="004F64B9">
        <w:rPr>
          <w:spacing w:val="-2"/>
        </w:rPr>
        <w:t xml:space="preserve"> capable d’analyser ces phénomènes multiphysiques</w:t>
      </w:r>
      <w:r w:rsidR="00E5142B">
        <w:rPr>
          <w:spacing w:val="-2"/>
        </w:rPr>
        <w:t xml:space="preserve"> </w:t>
      </w:r>
      <w:r>
        <w:rPr>
          <w:spacing w:val="-2"/>
        </w:rPr>
        <w:t>et</w:t>
      </w:r>
      <w:r w:rsidRPr="004F64B9">
        <w:rPr>
          <w:spacing w:val="-2"/>
        </w:rPr>
        <w:t xml:space="preserve"> prédire la répartition de température et de flux de courant dans la puce de puissance. A</w:t>
      </w:r>
      <w:r>
        <w:rPr>
          <w:spacing w:val="-2"/>
        </w:rPr>
        <w:t>insi</w:t>
      </w:r>
      <w:r w:rsidRPr="004F64B9">
        <w:rPr>
          <w:spacing w:val="-2"/>
        </w:rPr>
        <w:t>, les outils de simulation s’orientent de plus en plus vers la création de modèles électrothermiques efficaces de composants de puissance ayant rec</w:t>
      </w:r>
      <w:r w:rsidR="009A04B4">
        <w:rPr>
          <w:spacing w:val="-2"/>
        </w:rPr>
        <w:t>ours aux simulateurs tels que Simplorer, Pspi</w:t>
      </w:r>
      <w:r w:rsidRPr="004F64B9">
        <w:rPr>
          <w:spacing w:val="-2"/>
        </w:rPr>
        <w:t>ce ou Eldo</w:t>
      </w:r>
      <w:r w:rsidR="00E45225">
        <w:rPr>
          <w:spacing w:val="-2"/>
        </w:rPr>
        <w:t xml:space="preserve">, </w:t>
      </w:r>
      <w:r w:rsidRPr="004F64B9">
        <w:rPr>
          <w:spacing w:val="-2"/>
        </w:rPr>
        <w:t>…</w:t>
      </w:r>
      <w:r w:rsidR="00E45225">
        <w:rPr>
          <w:spacing w:val="-2"/>
        </w:rPr>
        <w:t xml:space="preserve">, </w:t>
      </w:r>
      <w:r w:rsidRPr="004F64B9">
        <w:rPr>
          <w:spacing w:val="-2"/>
        </w:rPr>
        <w:t xml:space="preserve">[2,3]. </w:t>
      </w:r>
      <w:r>
        <w:rPr>
          <w:spacing w:val="-2"/>
        </w:rPr>
        <w:t>Une</w:t>
      </w:r>
      <w:r w:rsidRPr="004F64B9">
        <w:rPr>
          <w:spacing w:val="-2"/>
        </w:rPr>
        <w:t xml:space="preserve"> gestion efficiente de la thermique dans les composants électroniques de puissance est incontournable pour minimiser les contraintes électrothermiques et thermomécaniques engendrées en fonctionnement. </w:t>
      </w:r>
      <w:r>
        <w:rPr>
          <w:spacing w:val="-2"/>
        </w:rPr>
        <w:t>C</w:t>
      </w:r>
      <w:r w:rsidRPr="004F64B9">
        <w:rPr>
          <w:spacing w:val="-2"/>
        </w:rPr>
        <w:t>es modèles</w:t>
      </w:r>
      <w:r>
        <w:rPr>
          <w:spacing w:val="-2"/>
        </w:rPr>
        <w:t>,</w:t>
      </w:r>
      <w:r w:rsidRPr="004F64B9">
        <w:rPr>
          <w:spacing w:val="-2"/>
        </w:rPr>
        <w:t xml:space="preserve"> qui rendent compte de la répartition de la température et de fl</w:t>
      </w:r>
      <w:r w:rsidR="005A1FAE">
        <w:rPr>
          <w:spacing w:val="-2"/>
        </w:rPr>
        <w:t xml:space="preserve">ux de courant, représentent pour la plupart, </w:t>
      </w:r>
      <w:r w:rsidRPr="004F64B9">
        <w:rPr>
          <w:spacing w:val="-2"/>
        </w:rPr>
        <w:t>le composant dan</w:t>
      </w:r>
      <w:r w:rsidR="005A1FAE">
        <w:rPr>
          <w:spacing w:val="-2"/>
        </w:rPr>
        <w:t xml:space="preserve">s son ensemble [4,5]. Cependant, </w:t>
      </w:r>
      <w:r w:rsidRPr="004F64B9">
        <w:rPr>
          <w:spacing w:val="-2"/>
        </w:rPr>
        <w:t xml:space="preserve">certains travaux montrent que ces modèles peuvent être adaptés pour </w:t>
      </w:r>
      <w:r>
        <w:rPr>
          <w:spacing w:val="-2"/>
        </w:rPr>
        <w:t>élaborer des modèles de puce</w:t>
      </w:r>
      <w:r w:rsidRPr="004F64B9">
        <w:rPr>
          <w:spacing w:val="-2"/>
        </w:rPr>
        <w:t xml:space="preserve"> multicellulaire afin de </w:t>
      </w:r>
      <w:r>
        <w:rPr>
          <w:spacing w:val="-2"/>
        </w:rPr>
        <w:t>rendre compte de</w:t>
      </w:r>
      <w:r w:rsidRPr="004F64B9">
        <w:rPr>
          <w:spacing w:val="-2"/>
        </w:rPr>
        <w:t xml:space="preserve"> l’interaction électrothermique à l’intérieur d’</w:t>
      </w:r>
      <w:r>
        <w:rPr>
          <w:spacing w:val="-2"/>
        </w:rPr>
        <w:t xml:space="preserve">une même puce </w:t>
      </w:r>
      <w:r w:rsidRPr="004F64B9">
        <w:rPr>
          <w:spacing w:val="-2"/>
        </w:rPr>
        <w:t xml:space="preserve">[6,7]. </w:t>
      </w:r>
      <w:r w:rsidRPr="001E37C3">
        <w:rPr>
          <w:spacing w:val="-2"/>
        </w:rPr>
        <w:t>Dans cette optique, notre étude vise à mettre en œuvre un modèle électrothe</w:t>
      </w:r>
      <w:r w:rsidR="00DA2BC2" w:rsidRPr="001E37C3">
        <w:rPr>
          <w:spacing w:val="-2"/>
        </w:rPr>
        <w:t xml:space="preserve">rmique distribué de puces IGBT </w:t>
      </w:r>
      <w:r w:rsidRPr="001E37C3">
        <w:rPr>
          <w:spacing w:val="-2"/>
        </w:rPr>
        <w:t>afin de déterminer la façon dont la température et les courants se distribuent spatialement dans la puce</w:t>
      </w:r>
      <w:r w:rsidR="00DA2BC2" w:rsidRPr="001E37C3">
        <w:rPr>
          <w:spacing w:val="-2"/>
        </w:rPr>
        <w:t xml:space="preserve">, </w:t>
      </w:r>
      <w:r w:rsidRPr="004F64B9">
        <w:rPr>
          <w:spacing w:val="-2"/>
        </w:rPr>
        <w:t>avec une investigation sur les effets du nombre de bonding, de leur position sur les pads d'émetteurs, du vieillissement de la métallisation et du contact bonding/métallisation</w:t>
      </w:r>
      <w:r w:rsidRPr="001E37C3">
        <w:rPr>
          <w:spacing w:val="-2"/>
        </w:rPr>
        <w:t xml:space="preserve">. </w:t>
      </w:r>
    </w:p>
    <w:p w:rsidR="00A22791" w:rsidRDefault="006163D0" w:rsidP="00C32E83">
      <w:pPr>
        <w:ind w:firstLine="0"/>
        <w:rPr>
          <w:spacing w:val="-2"/>
        </w:rPr>
      </w:pPr>
      <w:r>
        <w:rPr>
          <w:spacing w:val="-2"/>
        </w:rPr>
        <w:t>Dans un premier temps, nous présentons une description du modèle électro-thermique développé, basé sur un réseau thermique de Cauer 3Det de cellules</w:t>
      </w:r>
      <w:r w:rsidR="00DA6B74">
        <w:rPr>
          <w:spacing w:val="-2"/>
        </w:rPr>
        <w:t xml:space="preserve"> </w:t>
      </w:r>
      <w:r>
        <w:rPr>
          <w:spacing w:val="-2"/>
        </w:rPr>
        <w:t xml:space="preserve">électro-thermiques d'IGBT basées sur le modèle </w:t>
      </w:r>
      <w:r w:rsidR="000F6C04" w:rsidRPr="00DC42AA">
        <w:rPr>
          <w:spacing w:val="-2"/>
        </w:rPr>
        <w:t>d</w:t>
      </w:r>
      <w:r w:rsidR="00DA6B74">
        <w:rPr>
          <w:spacing w:val="-2"/>
        </w:rPr>
        <w:t xml:space="preserve">e </w:t>
      </w:r>
      <w:r w:rsidR="000F6C04" w:rsidRPr="00DC42AA">
        <w:rPr>
          <w:spacing w:val="-2"/>
        </w:rPr>
        <w:t>Hefner</w:t>
      </w:r>
      <w:r w:rsidR="00DA6B74">
        <w:rPr>
          <w:spacing w:val="-2"/>
        </w:rPr>
        <w:t xml:space="preserve"> </w:t>
      </w:r>
      <w:r w:rsidR="000F6C04" w:rsidRPr="001E37C3">
        <w:rPr>
          <w:spacing w:val="-2"/>
        </w:rPr>
        <w:t>[1]</w:t>
      </w:r>
      <w:r w:rsidR="000F6C04" w:rsidRPr="00DC42AA">
        <w:rPr>
          <w:spacing w:val="-2"/>
        </w:rPr>
        <w:t xml:space="preserve">. </w:t>
      </w:r>
    </w:p>
    <w:p w:rsidR="008A55B5" w:rsidRPr="00E609FD" w:rsidRDefault="006163D0" w:rsidP="00C32E83">
      <w:pPr>
        <w:ind w:firstLine="0"/>
      </w:pPr>
      <w:r>
        <w:rPr>
          <w:spacing w:val="-2"/>
        </w:rPr>
        <w:t>Dans un deuxième temps, nous montrons</w:t>
      </w:r>
      <w:r w:rsidR="00A22791">
        <w:rPr>
          <w:spacing w:val="-2"/>
        </w:rPr>
        <w:t xml:space="preserve"> comment le modèle a été utilisé </w:t>
      </w:r>
      <w:r>
        <w:t>pour</w:t>
      </w:r>
      <w:r w:rsidR="00A22791">
        <w:t xml:space="preserve"> mettre en évidence un phénomène de latch</w:t>
      </w:r>
      <w:r w:rsidR="00DA6B74">
        <w:t>-</w:t>
      </w:r>
      <w:r w:rsidR="00A22791">
        <w:t xml:space="preserve">up </w:t>
      </w:r>
      <w:r w:rsidR="00A22791">
        <w:lastRenderedPageBreak/>
        <w:t>dynamique observé expérimentalement lors de la coupure de courants de court-circuit sur ces composants après vieillissement. Le modèle Hefner a été préalablement modifié pour pouvoir prendre en compte l'effet du latch</w:t>
      </w:r>
      <w:r w:rsidR="00DA6B74">
        <w:t>-</w:t>
      </w:r>
      <w:r w:rsidR="00A22791">
        <w:t xml:space="preserve">up. </w:t>
      </w:r>
      <w:r>
        <w:t>Nous montrons également</w:t>
      </w:r>
      <w:r w:rsidR="00A22791">
        <w:t xml:space="preserve"> l'impact du vieillissement de la métallisation de la puce sur la redistribution des températures et des courants entre macro-cellules lor</w:t>
      </w:r>
      <w:r>
        <w:t>s du phénomène de court-circuit</w:t>
      </w:r>
      <w:r w:rsidR="00DA6B74">
        <w:t xml:space="preserve"> </w:t>
      </w:r>
      <w:r>
        <w:t>et</w:t>
      </w:r>
      <w:r w:rsidR="00A22791">
        <w:t xml:space="preserve"> l'influence éventuelle de ce même vieillissement sur le phénomène de latch</w:t>
      </w:r>
      <w:r w:rsidR="00DA6B74">
        <w:t>-</w:t>
      </w:r>
      <w:r w:rsidR="00A22791">
        <w:t>up dynamique.</w:t>
      </w:r>
    </w:p>
    <w:p w:rsidR="008A55B5" w:rsidRPr="00F67897" w:rsidRDefault="00541E4E" w:rsidP="00E609FD">
      <w:pPr>
        <w:pStyle w:val="Titre1"/>
        <w:rPr>
          <w:rFonts w:eastAsia="MS Mincho"/>
        </w:rPr>
      </w:pPr>
      <w:r>
        <w:rPr>
          <w:rFonts w:eastAsia="MS Mincho"/>
        </w:rPr>
        <w:t>Strategie de modelisation</w:t>
      </w:r>
    </w:p>
    <w:p w:rsidR="00541E4E" w:rsidRPr="001E37C3" w:rsidRDefault="00541E4E" w:rsidP="00666AD5">
      <w:pPr>
        <w:rPr>
          <w:spacing w:val="-2"/>
        </w:rPr>
      </w:pPr>
      <w:r>
        <w:rPr>
          <w:spacing w:val="-2"/>
        </w:rPr>
        <w:t xml:space="preserve">Le comportement </w:t>
      </w:r>
      <w:r w:rsidR="00323067">
        <w:rPr>
          <w:spacing w:val="-2"/>
        </w:rPr>
        <w:t xml:space="preserve">électrique </w:t>
      </w:r>
      <w:r w:rsidR="00DA2BC2">
        <w:rPr>
          <w:spacing w:val="-2"/>
        </w:rPr>
        <w:t xml:space="preserve">des dispositifs électroniques à </w:t>
      </w:r>
      <w:r w:rsidRPr="00DC42AA">
        <w:rPr>
          <w:spacing w:val="-2"/>
        </w:rPr>
        <w:t>semi-conducteurs est intimement lié à la température des composants</w:t>
      </w:r>
      <w:r w:rsidR="00DA6B74">
        <w:rPr>
          <w:spacing w:val="-2"/>
        </w:rPr>
        <w:t xml:space="preserve"> </w:t>
      </w:r>
      <w:r w:rsidR="003049F3">
        <w:rPr>
          <w:spacing w:val="-2"/>
        </w:rPr>
        <w:t>et réciproquement</w:t>
      </w:r>
      <w:r w:rsidRPr="00DC42AA">
        <w:rPr>
          <w:spacing w:val="-2"/>
        </w:rPr>
        <w:t xml:space="preserve">. Notre approche consiste à traiter les deux aspects </w:t>
      </w:r>
      <w:r>
        <w:rPr>
          <w:spacing w:val="-2"/>
        </w:rPr>
        <w:t>dans un environnement</w:t>
      </w:r>
      <w:r w:rsidRPr="00DC42AA">
        <w:rPr>
          <w:spacing w:val="-2"/>
        </w:rPr>
        <w:t xml:space="preserve"> unique de résolution de circuit (Simplorer)</w:t>
      </w:r>
      <w:r w:rsidR="00323067">
        <w:rPr>
          <w:spacing w:val="-2"/>
        </w:rPr>
        <w:t>,</w:t>
      </w:r>
      <w:r w:rsidRPr="00DC42AA">
        <w:rPr>
          <w:spacing w:val="-2"/>
        </w:rPr>
        <w:t xml:space="preserve"> afin de résoudre le problème de façon homogène et simultané</w:t>
      </w:r>
      <w:r>
        <w:rPr>
          <w:spacing w:val="-2"/>
        </w:rPr>
        <w:t xml:space="preserve">. Cette démarche </w:t>
      </w:r>
      <w:r w:rsidRPr="00DC42AA">
        <w:rPr>
          <w:spacing w:val="-2"/>
        </w:rPr>
        <w:t xml:space="preserve">s’inscrit dans </w:t>
      </w:r>
      <w:r>
        <w:rPr>
          <w:spacing w:val="-2"/>
        </w:rPr>
        <w:t>la</w:t>
      </w:r>
      <w:r w:rsidRPr="00DC42AA">
        <w:rPr>
          <w:spacing w:val="-2"/>
        </w:rPr>
        <w:t xml:space="preserve"> méthod</w:t>
      </w:r>
      <w:r>
        <w:rPr>
          <w:spacing w:val="-2"/>
        </w:rPr>
        <w:t>ologie</w:t>
      </w:r>
      <w:r w:rsidRPr="00DC42AA">
        <w:rPr>
          <w:spacing w:val="-2"/>
        </w:rPr>
        <w:t xml:space="preserve"> de modélisation électrothermique directe</w:t>
      </w:r>
      <w:r>
        <w:rPr>
          <w:spacing w:val="-2"/>
        </w:rPr>
        <w:t xml:space="preserve"> par couplage de la composante électrique avec la composante thermique </w:t>
      </w:r>
    </w:p>
    <w:p w:rsidR="00FA7604" w:rsidRPr="00E609FD" w:rsidRDefault="001362BF" w:rsidP="00FA7604">
      <w:pPr>
        <w:pStyle w:val="Titre2"/>
        <w:rPr>
          <w:lang w:val="fr-FR"/>
        </w:rPr>
      </w:pPr>
      <w:r>
        <w:rPr>
          <w:lang w:val="fr-FR"/>
        </w:rPr>
        <w:t>Composante thermique</w:t>
      </w:r>
    </w:p>
    <w:p w:rsidR="005F39B0" w:rsidRPr="00666AD5" w:rsidRDefault="001362BF" w:rsidP="00666AD5">
      <w:pPr>
        <w:rPr>
          <w:spacing w:val="-2"/>
        </w:rPr>
      </w:pPr>
      <w:r w:rsidRPr="0005127C">
        <w:rPr>
          <w:spacing w:val="-2"/>
        </w:rPr>
        <w:t>La Composante thermique est un modèle distribué de type nodal satisfaisant aux exigences des simulateurs de types circuit. Il est basé sur les méthodes de modélisation thermique ayant recours à l’analogie entre la théorie de la conduction électrique et celle de la conduction thermique. La correspondance thermique utilisée est celle du réseau distribué de C</w:t>
      </w:r>
      <w:r w:rsidR="00666AD5">
        <w:rPr>
          <w:spacing w:val="-2"/>
        </w:rPr>
        <w:t>auer</w:t>
      </w:r>
      <w:r w:rsidRPr="0005127C">
        <w:rPr>
          <w:spacing w:val="-2"/>
        </w:rPr>
        <w:t xml:space="preserve"> RC 3D </w:t>
      </w:r>
      <w:r w:rsidRPr="001E37C3">
        <w:rPr>
          <w:spacing w:val="-2"/>
        </w:rPr>
        <w:t>ou T-réseau</w:t>
      </w:r>
      <w:r w:rsidR="00DA2BC2" w:rsidRPr="001E37C3">
        <w:rPr>
          <w:spacing w:val="-2"/>
        </w:rPr>
        <w:t>,</w:t>
      </w:r>
      <w:r w:rsidRPr="001E37C3">
        <w:rPr>
          <w:spacing w:val="-2"/>
        </w:rPr>
        <w:t xml:space="preserve"> où chaque nœud du réseau correspond à un point physique d'un élément de volume de l'assemblage</w:t>
      </w:r>
      <w:r w:rsidR="0049011A">
        <w:rPr>
          <w:spacing w:val="-2"/>
        </w:rPr>
        <w:t xml:space="preserve"> </w:t>
      </w:r>
      <w:r w:rsidR="00DA2BC2" w:rsidRPr="001E37C3">
        <w:rPr>
          <w:spacing w:val="-2"/>
        </w:rPr>
        <w:t>comme montré en figure 1</w:t>
      </w:r>
      <w:r w:rsidR="00666AD5" w:rsidRPr="001E37C3">
        <w:rPr>
          <w:spacing w:val="-2"/>
        </w:rPr>
        <w:t>.</w:t>
      </w:r>
      <w:r w:rsidRPr="001E37C3">
        <w:rPr>
          <w:spacing w:val="-2"/>
        </w:rPr>
        <w:t xml:space="preserve"> Nous nous sommes ainsi inspirés de la discrétisation du réseau de Cauer à trois dimensions pour élaborer un modèle </w:t>
      </w:r>
      <w:r w:rsidR="00666AD5" w:rsidRPr="001E37C3">
        <w:rPr>
          <w:spacing w:val="-2"/>
        </w:rPr>
        <w:t>thermique simplifié</w:t>
      </w:r>
      <w:r w:rsidRPr="001E37C3">
        <w:rPr>
          <w:spacing w:val="-2"/>
        </w:rPr>
        <w:t xml:space="preserve">. </w:t>
      </w:r>
      <w:r w:rsidRPr="0005127C">
        <w:rPr>
          <w:spacing w:val="-2"/>
        </w:rPr>
        <w:t xml:space="preserve">Cette approche consiste à </w:t>
      </w:r>
      <w:r>
        <w:rPr>
          <w:spacing w:val="-2"/>
        </w:rPr>
        <w:t xml:space="preserve">représenter l'assemblage à l'aide d'un réseau RC dans les trois dimensions de l'espace. </w:t>
      </w:r>
    </w:p>
    <w:p w:rsidR="001362BF" w:rsidRDefault="005F39B0" w:rsidP="005F39B0">
      <w:pPr>
        <w:ind w:firstLine="0"/>
      </w:pPr>
      <w:r>
        <w:rPr>
          <w:noProof/>
          <w:lang w:eastAsia="fr-FR"/>
        </w:rPr>
        <w:drawing>
          <wp:inline distT="0" distB="0" distL="0" distR="0">
            <wp:extent cx="2322830" cy="16338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2830" cy="1633855"/>
                    </a:xfrm>
                    <a:prstGeom prst="rect">
                      <a:avLst/>
                    </a:prstGeom>
                    <a:noFill/>
                  </pic:spPr>
                </pic:pic>
              </a:graphicData>
            </a:graphic>
          </wp:inline>
        </w:drawing>
      </w:r>
    </w:p>
    <w:p w:rsidR="00AC5EF1" w:rsidRPr="00323067" w:rsidRDefault="0008501E" w:rsidP="00B35E15">
      <w:pPr>
        <w:ind w:firstLine="0"/>
        <w:rPr>
          <w:sz w:val="16"/>
          <w:szCs w:val="16"/>
        </w:rPr>
      </w:pPr>
      <w:r>
        <w:rPr>
          <w:spacing w:val="-2"/>
          <w:sz w:val="16"/>
          <w:szCs w:val="16"/>
        </w:rPr>
        <w:t>Fig.1</w:t>
      </w:r>
      <w:r w:rsidR="005F39B0" w:rsidRPr="005F39B0">
        <w:rPr>
          <w:spacing w:val="-2"/>
          <w:sz w:val="16"/>
          <w:szCs w:val="16"/>
        </w:rPr>
        <w:t xml:space="preserve"> Composante thermique</w:t>
      </w:r>
    </w:p>
    <w:p w:rsidR="00082134" w:rsidRDefault="00082134" w:rsidP="00B35E15">
      <w:pPr>
        <w:ind w:firstLine="0"/>
        <w:rPr>
          <w:rFonts w:eastAsia="Times New Roman"/>
          <w:spacing w:val="-2"/>
        </w:rPr>
      </w:pPr>
    </w:p>
    <w:p w:rsidR="000730A4" w:rsidRDefault="000730A4" w:rsidP="00B35E15">
      <w:pPr>
        <w:ind w:firstLine="0"/>
        <w:rPr>
          <w:spacing w:val="-2"/>
        </w:rPr>
      </w:pPr>
      <w:r>
        <w:rPr>
          <w:rFonts w:eastAsia="Times New Roman"/>
          <w:spacing w:val="-2"/>
        </w:rPr>
        <w:t>L</w:t>
      </w:r>
      <w:r w:rsidRPr="00A0334E">
        <w:rPr>
          <w:rFonts w:eastAsia="Times New Roman"/>
          <w:spacing w:val="-2"/>
        </w:rPr>
        <w:t xml:space="preserve">e </w:t>
      </w:r>
      <w:r>
        <w:rPr>
          <w:rFonts w:eastAsia="Times New Roman"/>
          <w:spacing w:val="-2"/>
        </w:rPr>
        <w:t>composant est un modèle thermique simplifié</w:t>
      </w:r>
      <w:r w:rsidR="00082134">
        <w:rPr>
          <w:rFonts w:eastAsia="Times New Roman"/>
          <w:spacing w:val="-2"/>
        </w:rPr>
        <w:t xml:space="preserve"> et </w:t>
      </w:r>
      <w:r w:rsidRPr="00A0334E">
        <w:rPr>
          <w:rFonts w:eastAsia="Times New Roman"/>
          <w:spacing w:val="-2"/>
        </w:rPr>
        <w:t>assimilé à un empilement de trois couches de matériaux différents</w:t>
      </w:r>
      <w:r>
        <w:rPr>
          <w:rFonts w:eastAsia="Times New Roman"/>
          <w:spacing w:val="-2"/>
        </w:rPr>
        <w:t xml:space="preserve"> dont les propriétés et les dimensions sont indiquées dans </w:t>
      </w:r>
      <w:r w:rsidRPr="00A0334E">
        <w:rPr>
          <w:rFonts w:eastAsia="Times New Roman"/>
          <w:spacing w:val="-2"/>
        </w:rPr>
        <w:t xml:space="preserve">le </w:t>
      </w:r>
      <w:r w:rsidRPr="00D35506">
        <w:rPr>
          <w:rFonts w:eastAsia="Times New Roman"/>
          <w:spacing w:val="-2"/>
        </w:rPr>
        <w:t xml:space="preserve">tableau </w:t>
      </w:r>
      <w:r>
        <w:rPr>
          <w:rFonts w:eastAsia="Times New Roman"/>
          <w:spacing w:val="-2"/>
        </w:rPr>
        <w:t>(</w:t>
      </w:r>
      <w:r w:rsidRPr="00D35506">
        <w:rPr>
          <w:rFonts w:eastAsia="Times New Roman"/>
          <w:spacing w:val="-2"/>
        </w:rPr>
        <w:t>1</w:t>
      </w:r>
      <w:r>
        <w:rPr>
          <w:rFonts w:eastAsia="Times New Roman"/>
          <w:spacing w:val="-2"/>
        </w:rPr>
        <w:t>)</w:t>
      </w:r>
    </w:p>
    <w:p w:rsidR="000730A4" w:rsidRDefault="00C378D3" w:rsidP="00B35E15">
      <w:pPr>
        <w:ind w:firstLine="0"/>
        <w:rPr>
          <w:spacing w:val="-2"/>
        </w:rPr>
      </w:pPr>
      <w:r w:rsidRPr="00DC42AA">
        <w:rPr>
          <w:spacing w:val="-2"/>
        </w:rPr>
        <w:t xml:space="preserve">La couche de silicium </w:t>
      </w:r>
      <w:r>
        <w:rPr>
          <w:spacing w:val="-2"/>
        </w:rPr>
        <w:t>(</w:t>
      </w:r>
      <w:r w:rsidRPr="00DC42AA">
        <w:rPr>
          <w:spacing w:val="-2"/>
        </w:rPr>
        <w:t>puce</w:t>
      </w:r>
      <w:r>
        <w:rPr>
          <w:spacing w:val="-2"/>
        </w:rPr>
        <w:t xml:space="preserve"> semi-conductrice</w:t>
      </w:r>
      <w:r w:rsidRPr="00DC42AA">
        <w:rPr>
          <w:spacing w:val="-2"/>
        </w:rPr>
        <w:t xml:space="preserve"> IGBT</w:t>
      </w:r>
      <w:r>
        <w:rPr>
          <w:spacing w:val="-2"/>
        </w:rPr>
        <w:t>)</w:t>
      </w:r>
      <w:r w:rsidRPr="00DC42AA">
        <w:rPr>
          <w:spacing w:val="-2"/>
        </w:rPr>
        <w:t xml:space="preserve"> et ses couches voisines (brasure et semelle) ont ainsi été subdivisée</w:t>
      </w:r>
      <w:r>
        <w:rPr>
          <w:spacing w:val="-2"/>
        </w:rPr>
        <w:t>s</w:t>
      </w:r>
      <w:r w:rsidRPr="00DC42AA">
        <w:rPr>
          <w:spacing w:val="-2"/>
        </w:rPr>
        <w:t xml:space="preserve"> en éléments de volume, afin de développer un modèle thermique nodal distribué en volume de l’assemblage. Ces cellules thermiques RC-3D obtenues comprennent six résistances thermiques (Rth) suivant les trois directions de </w:t>
      </w:r>
      <w:r w:rsidRPr="00DC42AA">
        <w:rPr>
          <w:spacing w:val="-2"/>
        </w:rPr>
        <w:lastRenderedPageBreak/>
        <w:t>l’espace et une capacité thermique (</w:t>
      </w:r>
      <w:r w:rsidRPr="001E37C3">
        <w:rPr>
          <w:spacing w:val="-2"/>
        </w:rPr>
        <w:t>Cth</w:t>
      </w:r>
      <w:r w:rsidRPr="00DC42AA">
        <w:rPr>
          <w:spacing w:val="-2"/>
        </w:rPr>
        <w:t>) placée au nœud central</w:t>
      </w:r>
      <w:r>
        <w:rPr>
          <w:spacing w:val="-2"/>
        </w:rPr>
        <w:t xml:space="preserve"> de chaque cellule</w:t>
      </w:r>
      <w:r w:rsidRPr="00DC42AA">
        <w:rPr>
          <w:spacing w:val="-2"/>
        </w:rPr>
        <w:t xml:space="preserve">. Les cellules RC-3D assurent ainsi les transferts thermiques latéraux entre cellules </w:t>
      </w:r>
      <w:r>
        <w:rPr>
          <w:spacing w:val="-2"/>
        </w:rPr>
        <w:t>adjacentes</w:t>
      </w:r>
      <w:r w:rsidRPr="00DC42AA">
        <w:rPr>
          <w:spacing w:val="-2"/>
        </w:rPr>
        <w:t xml:space="preserve"> et le passage du flux thermique d’une couche à l’autre.</w:t>
      </w:r>
      <w:r>
        <w:rPr>
          <w:spacing w:val="-2"/>
        </w:rPr>
        <w:t xml:space="preserve"> </w:t>
      </w:r>
      <w:r w:rsidRPr="001E37C3">
        <w:rPr>
          <w:spacing w:val="-2"/>
        </w:rPr>
        <w:t>Ces éléments de volume, de structures parallélépipédiques, représentent les briques élémentaires de notre modèle</w:t>
      </w:r>
      <w:r>
        <w:rPr>
          <w:spacing w:val="-2"/>
        </w:rPr>
        <w:t xml:space="preserve"> thermique </w:t>
      </w:r>
      <w:r w:rsidRPr="001E37C3">
        <w:rPr>
          <w:spacing w:val="-2"/>
        </w:rPr>
        <w:t>et leurs centres constituent les nœuds centraux du réseau RC.</w:t>
      </w:r>
    </w:p>
    <w:p w:rsidR="00082134" w:rsidRPr="008D1344" w:rsidRDefault="00082134" w:rsidP="008D1344">
      <w:pPr>
        <w:ind w:firstLine="0"/>
        <w:jc w:val="center"/>
        <w:rPr>
          <w:spacing w:val="-2"/>
          <w:sz w:val="16"/>
          <w:szCs w:val="16"/>
        </w:rPr>
      </w:pPr>
      <w:r w:rsidRPr="008D1344">
        <w:rPr>
          <w:spacing w:val="-2"/>
          <w:sz w:val="16"/>
          <w:szCs w:val="16"/>
        </w:rPr>
        <w:t>Tab.1  Propriétés et dimensions des matériaux utilisés</w:t>
      </w:r>
    </w:p>
    <w:tbl>
      <w:tblPr>
        <w:tblStyle w:val="Grilledutableau"/>
        <w:tblW w:w="0" w:type="auto"/>
        <w:jc w:val="center"/>
        <w:tblLayout w:type="fixed"/>
        <w:tblLook w:val="04A0"/>
      </w:tblPr>
      <w:tblGrid>
        <w:gridCol w:w="1574"/>
        <w:gridCol w:w="1086"/>
        <w:gridCol w:w="995"/>
        <w:gridCol w:w="1038"/>
      </w:tblGrid>
      <w:tr w:rsidR="00082134" w:rsidTr="00082134">
        <w:trPr>
          <w:jc w:val="center"/>
        </w:trPr>
        <w:tc>
          <w:tcPr>
            <w:tcW w:w="1574" w:type="dxa"/>
            <w:vAlign w:val="center"/>
          </w:tcPr>
          <w:p w:rsidR="000730A4" w:rsidRPr="00E35D43" w:rsidRDefault="000730A4" w:rsidP="00082134">
            <w:pPr>
              <w:ind w:firstLine="0"/>
              <w:jc w:val="center"/>
              <w:rPr>
                <w:b/>
                <w:sz w:val="16"/>
                <w:szCs w:val="16"/>
              </w:rPr>
            </w:pPr>
            <w:r w:rsidRPr="00E35D43">
              <w:rPr>
                <w:b/>
                <w:sz w:val="16"/>
                <w:szCs w:val="16"/>
              </w:rPr>
              <w:t>Couche</w:t>
            </w:r>
          </w:p>
        </w:tc>
        <w:tc>
          <w:tcPr>
            <w:tcW w:w="1086" w:type="dxa"/>
            <w:vAlign w:val="center"/>
          </w:tcPr>
          <w:p w:rsidR="000730A4" w:rsidRPr="00E35D43" w:rsidRDefault="000730A4" w:rsidP="00082134">
            <w:pPr>
              <w:ind w:firstLine="0"/>
              <w:jc w:val="center"/>
              <w:rPr>
                <w:b/>
                <w:sz w:val="16"/>
                <w:szCs w:val="16"/>
              </w:rPr>
            </w:pPr>
            <w:r w:rsidRPr="00E35D43">
              <w:rPr>
                <w:b/>
                <w:sz w:val="16"/>
                <w:szCs w:val="16"/>
              </w:rPr>
              <w:t>Puce</w:t>
            </w:r>
          </w:p>
        </w:tc>
        <w:tc>
          <w:tcPr>
            <w:tcW w:w="995" w:type="dxa"/>
            <w:vAlign w:val="center"/>
          </w:tcPr>
          <w:p w:rsidR="000730A4" w:rsidRPr="00E35D43" w:rsidRDefault="000730A4" w:rsidP="00082134">
            <w:pPr>
              <w:ind w:firstLine="0"/>
              <w:jc w:val="center"/>
              <w:rPr>
                <w:b/>
                <w:sz w:val="16"/>
                <w:szCs w:val="16"/>
              </w:rPr>
            </w:pPr>
            <w:r w:rsidRPr="00E35D43">
              <w:rPr>
                <w:b/>
                <w:sz w:val="16"/>
                <w:szCs w:val="16"/>
              </w:rPr>
              <w:t>Brasure</w:t>
            </w:r>
          </w:p>
        </w:tc>
        <w:tc>
          <w:tcPr>
            <w:tcW w:w="1038" w:type="dxa"/>
            <w:vAlign w:val="center"/>
          </w:tcPr>
          <w:p w:rsidR="000730A4" w:rsidRPr="00E35D43" w:rsidRDefault="000730A4" w:rsidP="00082134">
            <w:pPr>
              <w:ind w:firstLine="0"/>
              <w:jc w:val="center"/>
              <w:rPr>
                <w:b/>
                <w:sz w:val="16"/>
                <w:szCs w:val="16"/>
              </w:rPr>
            </w:pPr>
            <w:r w:rsidRPr="00E35D43">
              <w:rPr>
                <w:b/>
                <w:sz w:val="16"/>
                <w:szCs w:val="16"/>
              </w:rPr>
              <w:t>Substrat</w:t>
            </w:r>
          </w:p>
        </w:tc>
      </w:tr>
      <w:tr w:rsidR="00082134" w:rsidTr="00082134">
        <w:trPr>
          <w:jc w:val="center"/>
        </w:trPr>
        <w:tc>
          <w:tcPr>
            <w:tcW w:w="1574" w:type="dxa"/>
            <w:vAlign w:val="center"/>
          </w:tcPr>
          <w:p w:rsidR="000730A4" w:rsidRPr="00D8373B" w:rsidRDefault="000730A4" w:rsidP="00082134">
            <w:pPr>
              <w:ind w:firstLine="0"/>
              <w:jc w:val="center"/>
              <w:rPr>
                <w:sz w:val="16"/>
                <w:szCs w:val="16"/>
              </w:rPr>
            </w:pPr>
            <w:r w:rsidRPr="00D8373B">
              <w:rPr>
                <w:sz w:val="16"/>
                <w:szCs w:val="16"/>
              </w:rPr>
              <w:t>Matériaux</w:t>
            </w:r>
          </w:p>
        </w:tc>
        <w:tc>
          <w:tcPr>
            <w:tcW w:w="1086" w:type="dxa"/>
            <w:vAlign w:val="center"/>
          </w:tcPr>
          <w:p w:rsidR="000730A4" w:rsidRPr="00D8373B" w:rsidRDefault="000730A4" w:rsidP="00082134">
            <w:pPr>
              <w:ind w:firstLine="0"/>
              <w:jc w:val="center"/>
              <w:rPr>
                <w:sz w:val="16"/>
                <w:szCs w:val="16"/>
              </w:rPr>
            </w:pPr>
            <w:r w:rsidRPr="00D8373B">
              <w:rPr>
                <w:sz w:val="16"/>
                <w:szCs w:val="16"/>
              </w:rPr>
              <w:t>Silicium (Si)</w:t>
            </w:r>
          </w:p>
        </w:tc>
        <w:tc>
          <w:tcPr>
            <w:tcW w:w="995" w:type="dxa"/>
            <w:vAlign w:val="center"/>
          </w:tcPr>
          <w:p w:rsidR="000730A4" w:rsidRPr="00D8373B" w:rsidRDefault="000730A4" w:rsidP="00082134">
            <w:pPr>
              <w:ind w:firstLine="0"/>
              <w:jc w:val="center"/>
              <w:rPr>
                <w:sz w:val="16"/>
                <w:szCs w:val="16"/>
              </w:rPr>
            </w:pPr>
            <w:r w:rsidRPr="00D8373B">
              <w:rPr>
                <w:sz w:val="16"/>
                <w:szCs w:val="16"/>
              </w:rPr>
              <w:t>SnAg</w:t>
            </w:r>
          </w:p>
        </w:tc>
        <w:tc>
          <w:tcPr>
            <w:tcW w:w="1038" w:type="dxa"/>
            <w:vAlign w:val="center"/>
          </w:tcPr>
          <w:p w:rsidR="000730A4" w:rsidRPr="00D8373B" w:rsidRDefault="000730A4" w:rsidP="00082134">
            <w:pPr>
              <w:widowControl w:val="0"/>
              <w:adjustRightInd w:val="0"/>
              <w:spacing w:line="240" w:lineRule="auto"/>
              <w:ind w:firstLine="0"/>
              <w:jc w:val="center"/>
              <w:rPr>
                <w:sz w:val="16"/>
                <w:szCs w:val="16"/>
              </w:rPr>
            </w:pPr>
            <w:r w:rsidRPr="00D8373B">
              <w:rPr>
                <w:sz w:val="16"/>
                <w:szCs w:val="16"/>
              </w:rPr>
              <w:t>Cuivre</w:t>
            </w:r>
            <w:r w:rsidR="00082134">
              <w:rPr>
                <w:sz w:val="16"/>
                <w:szCs w:val="16"/>
              </w:rPr>
              <w:t xml:space="preserve"> </w:t>
            </w:r>
            <w:r w:rsidRPr="00D8373B">
              <w:rPr>
                <w:sz w:val="16"/>
                <w:szCs w:val="16"/>
              </w:rPr>
              <w:t>(Cu)</w:t>
            </w:r>
          </w:p>
        </w:tc>
      </w:tr>
      <w:tr w:rsidR="00082134" w:rsidTr="00082134">
        <w:trPr>
          <w:jc w:val="center"/>
        </w:trPr>
        <w:tc>
          <w:tcPr>
            <w:tcW w:w="1574" w:type="dxa"/>
            <w:vAlign w:val="center"/>
          </w:tcPr>
          <w:p w:rsidR="000730A4" w:rsidRPr="00D8373B" w:rsidRDefault="000730A4" w:rsidP="00082134">
            <w:pPr>
              <w:widowControl w:val="0"/>
              <w:adjustRightInd w:val="0"/>
              <w:spacing w:line="240" w:lineRule="auto"/>
              <w:ind w:firstLine="0"/>
              <w:jc w:val="center"/>
              <w:rPr>
                <w:bCs/>
                <w:sz w:val="16"/>
                <w:szCs w:val="16"/>
              </w:rPr>
            </w:pPr>
            <w:r w:rsidRPr="00D8373B">
              <w:rPr>
                <w:bCs/>
                <w:sz w:val="16"/>
                <w:szCs w:val="16"/>
              </w:rPr>
              <w:t>Dimensions</w:t>
            </w:r>
          </w:p>
          <w:p w:rsidR="000730A4" w:rsidRPr="00D8373B" w:rsidRDefault="000730A4" w:rsidP="00082134">
            <w:pPr>
              <w:ind w:firstLine="0"/>
              <w:jc w:val="center"/>
              <w:rPr>
                <w:sz w:val="16"/>
                <w:szCs w:val="16"/>
              </w:rPr>
            </w:pPr>
            <w:r w:rsidRPr="00D8373B">
              <w:rPr>
                <w:bCs/>
                <w:sz w:val="16"/>
                <w:szCs w:val="16"/>
              </w:rPr>
              <w:t>(cm</w:t>
            </w:r>
            <w:r w:rsidRPr="00D8373B">
              <w:rPr>
                <w:rFonts w:cs="Times New Roman"/>
                <w:sz w:val="16"/>
                <w:szCs w:val="16"/>
              </w:rPr>
              <w:t> </w:t>
            </w:r>
            <w:r w:rsidRPr="00D8373B">
              <w:rPr>
                <w:bCs/>
                <w:sz w:val="16"/>
                <w:szCs w:val="16"/>
              </w:rPr>
              <w:t>×</w:t>
            </w:r>
            <w:r w:rsidRPr="00D8373B">
              <w:rPr>
                <w:rFonts w:cs="Times New Roman"/>
                <w:sz w:val="16"/>
                <w:szCs w:val="16"/>
              </w:rPr>
              <w:t> </w:t>
            </w:r>
            <w:r w:rsidRPr="00D8373B">
              <w:rPr>
                <w:bCs/>
                <w:sz w:val="16"/>
                <w:szCs w:val="16"/>
              </w:rPr>
              <w:t>cm</w:t>
            </w:r>
            <w:r w:rsidRPr="00D8373B">
              <w:rPr>
                <w:rFonts w:cs="Times New Roman"/>
                <w:sz w:val="16"/>
                <w:szCs w:val="16"/>
              </w:rPr>
              <w:t> </w:t>
            </w:r>
            <w:r w:rsidRPr="00D8373B">
              <w:rPr>
                <w:bCs/>
                <w:sz w:val="16"/>
                <w:szCs w:val="16"/>
              </w:rPr>
              <w:t>×</w:t>
            </w:r>
            <w:r w:rsidRPr="00D8373B">
              <w:rPr>
                <w:rFonts w:cs="Times New Roman"/>
                <w:sz w:val="16"/>
                <w:szCs w:val="16"/>
              </w:rPr>
              <w:t> </w:t>
            </w:r>
            <w:r w:rsidRPr="00D8373B">
              <w:rPr>
                <w:bCs/>
                <w:sz w:val="16"/>
                <w:szCs w:val="16"/>
              </w:rPr>
              <w:t>µm)</w:t>
            </w:r>
          </w:p>
        </w:tc>
        <w:tc>
          <w:tcPr>
            <w:tcW w:w="1086" w:type="dxa"/>
            <w:vAlign w:val="center"/>
          </w:tcPr>
          <w:p w:rsidR="000730A4" w:rsidRPr="00D8373B" w:rsidRDefault="000730A4" w:rsidP="00082134">
            <w:pPr>
              <w:ind w:firstLine="0"/>
              <w:jc w:val="center"/>
              <w:rPr>
                <w:sz w:val="16"/>
                <w:szCs w:val="16"/>
              </w:rPr>
            </w:pPr>
            <w:r w:rsidRPr="00D8373B">
              <w:rPr>
                <w:sz w:val="16"/>
                <w:szCs w:val="16"/>
              </w:rPr>
              <w:t>1</w:t>
            </w:r>
            <w:r w:rsidRPr="00D8373B">
              <w:rPr>
                <w:rFonts w:cs="Times New Roman"/>
                <w:sz w:val="16"/>
                <w:szCs w:val="16"/>
              </w:rPr>
              <w:t> </w:t>
            </w:r>
            <w:r w:rsidRPr="00D8373B">
              <w:rPr>
                <w:sz w:val="16"/>
                <w:szCs w:val="16"/>
              </w:rPr>
              <w:t>×</w:t>
            </w:r>
            <w:r w:rsidRPr="00D8373B">
              <w:rPr>
                <w:rFonts w:cs="Times New Roman"/>
                <w:sz w:val="16"/>
                <w:szCs w:val="16"/>
              </w:rPr>
              <w:t> </w:t>
            </w:r>
            <w:r w:rsidRPr="00D8373B">
              <w:rPr>
                <w:sz w:val="16"/>
                <w:szCs w:val="16"/>
              </w:rPr>
              <w:t>1×</w:t>
            </w:r>
            <w:r w:rsidRPr="00D8373B">
              <w:rPr>
                <w:rFonts w:cs="Times New Roman"/>
                <w:sz w:val="16"/>
                <w:szCs w:val="16"/>
              </w:rPr>
              <w:t> </w:t>
            </w:r>
            <w:r w:rsidRPr="00D8373B">
              <w:rPr>
                <w:sz w:val="16"/>
                <w:szCs w:val="16"/>
              </w:rPr>
              <w:t>100</w:t>
            </w:r>
          </w:p>
        </w:tc>
        <w:tc>
          <w:tcPr>
            <w:tcW w:w="995" w:type="dxa"/>
            <w:vAlign w:val="center"/>
          </w:tcPr>
          <w:p w:rsidR="000730A4" w:rsidRPr="00D8373B" w:rsidRDefault="000730A4" w:rsidP="00082134">
            <w:pPr>
              <w:ind w:firstLine="0"/>
              <w:jc w:val="center"/>
              <w:rPr>
                <w:sz w:val="16"/>
                <w:szCs w:val="16"/>
              </w:rPr>
            </w:pPr>
            <w:r w:rsidRPr="00D8373B">
              <w:rPr>
                <w:sz w:val="16"/>
                <w:szCs w:val="16"/>
              </w:rPr>
              <w:t>1</w:t>
            </w:r>
            <w:r w:rsidRPr="00D8373B">
              <w:rPr>
                <w:rFonts w:cs="Times New Roman"/>
                <w:sz w:val="16"/>
                <w:szCs w:val="16"/>
              </w:rPr>
              <w:t> </w:t>
            </w:r>
            <w:r w:rsidRPr="00D8373B">
              <w:rPr>
                <w:sz w:val="16"/>
                <w:szCs w:val="16"/>
              </w:rPr>
              <w:t>×</w:t>
            </w:r>
            <w:r w:rsidRPr="00D8373B">
              <w:rPr>
                <w:rFonts w:cs="Times New Roman"/>
                <w:sz w:val="16"/>
                <w:szCs w:val="16"/>
              </w:rPr>
              <w:t> </w:t>
            </w:r>
            <w:r w:rsidRPr="00D8373B">
              <w:rPr>
                <w:sz w:val="16"/>
                <w:szCs w:val="16"/>
              </w:rPr>
              <w:t>1×</w:t>
            </w:r>
            <w:r w:rsidRPr="00D8373B">
              <w:rPr>
                <w:rFonts w:cs="Times New Roman"/>
                <w:sz w:val="16"/>
                <w:szCs w:val="16"/>
              </w:rPr>
              <w:t> </w:t>
            </w:r>
            <w:r w:rsidRPr="00D8373B">
              <w:rPr>
                <w:sz w:val="16"/>
                <w:szCs w:val="16"/>
              </w:rPr>
              <w:t>100</w:t>
            </w:r>
          </w:p>
        </w:tc>
        <w:tc>
          <w:tcPr>
            <w:tcW w:w="1038" w:type="dxa"/>
            <w:vAlign w:val="center"/>
          </w:tcPr>
          <w:p w:rsidR="000730A4" w:rsidRPr="00D8373B" w:rsidRDefault="000730A4" w:rsidP="00082134">
            <w:pPr>
              <w:ind w:firstLine="0"/>
              <w:jc w:val="center"/>
              <w:rPr>
                <w:sz w:val="16"/>
                <w:szCs w:val="16"/>
              </w:rPr>
            </w:pPr>
            <w:r w:rsidRPr="00D8373B">
              <w:rPr>
                <w:sz w:val="16"/>
                <w:szCs w:val="16"/>
              </w:rPr>
              <w:t>4</w:t>
            </w:r>
            <w:r w:rsidRPr="00D8373B">
              <w:rPr>
                <w:rFonts w:cs="Times New Roman"/>
                <w:sz w:val="16"/>
                <w:szCs w:val="16"/>
              </w:rPr>
              <w:t> </w:t>
            </w:r>
            <w:r w:rsidRPr="00D8373B">
              <w:rPr>
                <w:sz w:val="16"/>
                <w:szCs w:val="16"/>
              </w:rPr>
              <w:t>×</w:t>
            </w:r>
            <w:r w:rsidRPr="00D8373B">
              <w:rPr>
                <w:rFonts w:cs="Times New Roman"/>
                <w:sz w:val="16"/>
                <w:szCs w:val="16"/>
              </w:rPr>
              <w:t> </w:t>
            </w:r>
            <w:r w:rsidRPr="00D8373B">
              <w:rPr>
                <w:sz w:val="16"/>
                <w:szCs w:val="16"/>
              </w:rPr>
              <w:t>4×</w:t>
            </w:r>
            <w:r w:rsidRPr="00D8373B">
              <w:rPr>
                <w:rFonts w:cs="Times New Roman"/>
                <w:sz w:val="16"/>
                <w:szCs w:val="16"/>
              </w:rPr>
              <w:t> </w:t>
            </w:r>
            <w:r w:rsidRPr="00D8373B">
              <w:rPr>
                <w:sz w:val="16"/>
                <w:szCs w:val="16"/>
              </w:rPr>
              <w:t>2000</w:t>
            </w:r>
          </w:p>
        </w:tc>
      </w:tr>
      <w:tr w:rsidR="00082134" w:rsidTr="00082134">
        <w:trPr>
          <w:jc w:val="center"/>
        </w:trPr>
        <w:tc>
          <w:tcPr>
            <w:tcW w:w="1574" w:type="dxa"/>
            <w:vAlign w:val="center"/>
          </w:tcPr>
          <w:p w:rsidR="000730A4" w:rsidRPr="00D8373B" w:rsidRDefault="000730A4" w:rsidP="00082134">
            <w:pPr>
              <w:widowControl w:val="0"/>
              <w:adjustRightInd w:val="0"/>
              <w:spacing w:line="240" w:lineRule="auto"/>
              <w:ind w:left="-177" w:right="-181" w:firstLine="0"/>
              <w:jc w:val="center"/>
              <w:rPr>
                <w:bCs/>
                <w:color w:val="FF0000"/>
                <w:sz w:val="16"/>
                <w:szCs w:val="16"/>
              </w:rPr>
            </w:pPr>
            <w:r w:rsidRPr="00D8373B">
              <w:rPr>
                <w:bCs/>
                <w:color w:val="000000"/>
                <w:sz w:val="16"/>
                <w:szCs w:val="16"/>
              </w:rPr>
              <w:t>Conductivité thermique (T</w:t>
            </w:r>
            <w:r w:rsidRPr="00D8373B">
              <w:rPr>
                <w:bCs/>
                <w:color w:val="000000"/>
                <w:sz w:val="16"/>
                <w:szCs w:val="16"/>
                <w:vertAlign w:val="subscript"/>
              </w:rPr>
              <w:t>0</w:t>
            </w:r>
            <w:r w:rsidRPr="00D8373B">
              <w:rPr>
                <w:bCs/>
                <w:color w:val="000000"/>
                <w:sz w:val="16"/>
                <w:szCs w:val="16"/>
              </w:rPr>
              <w:t>)(W.</w:t>
            </w:r>
            <w:r w:rsidRPr="00D8373B">
              <w:rPr>
                <w:rFonts w:cs="Times New Roman"/>
                <w:sz w:val="16"/>
                <w:szCs w:val="16"/>
              </w:rPr>
              <w:t> </w:t>
            </w:r>
            <w:r w:rsidRPr="00D8373B">
              <w:rPr>
                <w:bCs/>
                <w:color w:val="000000"/>
                <w:sz w:val="16"/>
                <w:szCs w:val="16"/>
              </w:rPr>
              <w:t>m</w:t>
            </w:r>
            <w:r w:rsidRPr="00D8373B">
              <w:rPr>
                <w:bCs/>
                <w:color w:val="000000"/>
                <w:sz w:val="16"/>
                <w:szCs w:val="16"/>
                <w:vertAlign w:val="superscript"/>
              </w:rPr>
              <w:t>-1</w:t>
            </w:r>
            <w:r w:rsidRPr="00D8373B">
              <w:rPr>
                <w:bCs/>
                <w:color w:val="000000"/>
                <w:sz w:val="16"/>
                <w:szCs w:val="16"/>
              </w:rPr>
              <w:t>.</w:t>
            </w:r>
            <w:r w:rsidRPr="00D8373B">
              <w:rPr>
                <w:rFonts w:cs="Times New Roman"/>
                <w:sz w:val="16"/>
                <w:szCs w:val="16"/>
              </w:rPr>
              <w:t> </w:t>
            </w:r>
            <w:r w:rsidRPr="00D8373B">
              <w:rPr>
                <w:bCs/>
                <w:color w:val="000000"/>
                <w:sz w:val="16"/>
                <w:szCs w:val="16"/>
              </w:rPr>
              <w:t>K</w:t>
            </w:r>
            <w:r w:rsidRPr="00D8373B">
              <w:rPr>
                <w:bCs/>
                <w:color w:val="000000"/>
                <w:sz w:val="16"/>
                <w:szCs w:val="16"/>
                <w:vertAlign w:val="superscript"/>
              </w:rPr>
              <w:t>-1</w:t>
            </w:r>
            <w:r w:rsidRPr="00D8373B">
              <w:rPr>
                <w:bCs/>
                <w:color w:val="000000"/>
                <w:sz w:val="16"/>
                <w:szCs w:val="16"/>
              </w:rPr>
              <w:t>)</w:t>
            </w:r>
          </w:p>
        </w:tc>
        <w:tc>
          <w:tcPr>
            <w:tcW w:w="1086" w:type="dxa"/>
            <w:vAlign w:val="center"/>
          </w:tcPr>
          <w:p w:rsidR="000730A4" w:rsidRPr="00D8373B" w:rsidRDefault="000730A4" w:rsidP="00082134">
            <w:pPr>
              <w:ind w:firstLine="0"/>
              <w:jc w:val="center"/>
              <w:rPr>
                <w:sz w:val="16"/>
                <w:szCs w:val="16"/>
              </w:rPr>
            </w:pPr>
            <w:r w:rsidRPr="00D8373B">
              <w:rPr>
                <w:sz w:val="16"/>
                <w:szCs w:val="16"/>
              </w:rPr>
              <w:t>150</w:t>
            </w:r>
          </w:p>
        </w:tc>
        <w:tc>
          <w:tcPr>
            <w:tcW w:w="995" w:type="dxa"/>
            <w:vAlign w:val="center"/>
          </w:tcPr>
          <w:p w:rsidR="000730A4" w:rsidRPr="00D8373B" w:rsidRDefault="000730A4" w:rsidP="00082134">
            <w:pPr>
              <w:ind w:firstLine="0"/>
              <w:jc w:val="center"/>
              <w:rPr>
                <w:sz w:val="16"/>
                <w:szCs w:val="16"/>
              </w:rPr>
            </w:pPr>
            <w:r w:rsidRPr="00D8373B">
              <w:rPr>
                <w:sz w:val="16"/>
                <w:szCs w:val="16"/>
              </w:rPr>
              <w:t>53</w:t>
            </w:r>
          </w:p>
        </w:tc>
        <w:tc>
          <w:tcPr>
            <w:tcW w:w="1038" w:type="dxa"/>
            <w:vAlign w:val="center"/>
          </w:tcPr>
          <w:p w:rsidR="000730A4" w:rsidRPr="00D8373B" w:rsidRDefault="000730A4" w:rsidP="00082134">
            <w:pPr>
              <w:ind w:firstLine="0"/>
              <w:jc w:val="center"/>
              <w:rPr>
                <w:sz w:val="16"/>
                <w:szCs w:val="16"/>
              </w:rPr>
            </w:pPr>
            <w:r w:rsidRPr="00D8373B">
              <w:rPr>
                <w:sz w:val="16"/>
                <w:szCs w:val="16"/>
              </w:rPr>
              <w:t>400</w:t>
            </w:r>
          </w:p>
        </w:tc>
      </w:tr>
      <w:tr w:rsidR="00082134" w:rsidTr="00082134">
        <w:trPr>
          <w:jc w:val="center"/>
        </w:trPr>
        <w:tc>
          <w:tcPr>
            <w:tcW w:w="1574" w:type="dxa"/>
            <w:vAlign w:val="center"/>
          </w:tcPr>
          <w:p w:rsidR="000730A4" w:rsidRPr="00D8373B" w:rsidRDefault="000730A4" w:rsidP="00082134">
            <w:pPr>
              <w:ind w:firstLine="0"/>
              <w:jc w:val="center"/>
              <w:rPr>
                <w:sz w:val="16"/>
                <w:szCs w:val="16"/>
              </w:rPr>
            </w:pPr>
            <w:r w:rsidRPr="00D8373B">
              <w:rPr>
                <w:bCs/>
                <w:color w:val="000000"/>
                <w:sz w:val="16"/>
                <w:szCs w:val="16"/>
              </w:rPr>
              <w:t>Chaleur spécifique (T</w:t>
            </w:r>
            <w:r w:rsidRPr="00D8373B">
              <w:rPr>
                <w:bCs/>
                <w:color w:val="000000"/>
                <w:sz w:val="16"/>
                <w:szCs w:val="16"/>
                <w:vertAlign w:val="subscript"/>
              </w:rPr>
              <w:t>0</w:t>
            </w:r>
            <w:r w:rsidRPr="00D8373B">
              <w:rPr>
                <w:bCs/>
                <w:color w:val="000000"/>
                <w:sz w:val="16"/>
                <w:szCs w:val="16"/>
              </w:rPr>
              <w:t>)(J.</w:t>
            </w:r>
            <w:r w:rsidRPr="00D8373B">
              <w:rPr>
                <w:rFonts w:cs="Times New Roman"/>
                <w:sz w:val="16"/>
                <w:szCs w:val="16"/>
              </w:rPr>
              <w:t> </w:t>
            </w:r>
            <w:r w:rsidRPr="00D8373B">
              <w:rPr>
                <w:bCs/>
                <w:color w:val="000000"/>
                <w:sz w:val="16"/>
                <w:szCs w:val="16"/>
              </w:rPr>
              <w:t>kg</w:t>
            </w:r>
            <w:r w:rsidRPr="00D8373B">
              <w:rPr>
                <w:bCs/>
                <w:color w:val="000000"/>
                <w:sz w:val="16"/>
                <w:szCs w:val="16"/>
                <w:vertAlign w:val="superscript"/>
              </w:rPr>
              <w:t>-1</w:t>
            </w:r>
            <w:r w:rsidRPr="00D8373B">
              <w:rPr>
                <w:bCs/>
                <w:color w:val="000000"/>
                <w:sz w:val="16"/>
                <w:szCs w:val="16"/>
              </w:rPr>
              <w:t>.</w:t>
            </w:r>
            <w:r w:rsidRPr="00D8373B">
              <w:rPr>
                <w:rFonts w:cs="Times New Roman"/>
                <w:sz w:val="16"/>
                <w:szCs w:val="16"/>
              </w:rPr>
              <w:t> </w:t>
            </w:r>
            <w:r w:rsidRPr="00D8373B">
              <w:rPr>
                <w:bCs/>
                <w:color w:val="000000"/>
                <w:sz w:val="16"/>
                <w:szCs w:val="16"/>
              </w:rPr>
              <w:t>K</w:t>
            </w:r>
            <w:r w:rsidRPr="00D8373B">
              <w:rPr>
                <w:bCs/>
                <w:color w:val="000000"/>
                <w:sz w:val="16"/>
                <w:szCs w:val="16"/>
                <w:vertAlign w:val="superscript"/>
              </w:rPr>
              <w:t>-1</w:t>
            </w:r>
            <w:r w:rsidRPr="00D8373B">
              <w:rPr>
                <w:bCs/>
                <w:color w:val="000000"/>
                <w:sz w:val="16"/>
                <w:szCs w:val="16"/>
              </w:rPr>
              <w:t>)</w:t>
            </w:r>
          </w:p>
        </w:tc>
        <w:tc>
          <w:tcPr>
            <w:tcW w:w="1086" w:type="dxa"/>
            <w:vAlign w:val="center"/>
          </w:tcPr>
          <w:p w:rsidR="000730A4" w:rsidRPr="00D8373B" w:rsidRDefault="000730A4" w:rsidP="00082134">
            <w:pPr>
              <w:ind w:firstLine="0"/>
              <w:jc w:val="center"/>
              <w:rPr>
                <w:sz w:val="16"/>
                <w:szCs w:val="16"/>
              </w:rPr>
            </w:pPr>
            <w:r w:rsidRPr="00D8373B">
              <w:rPr>
                <w:sz w:val="16"/>
                <w:szCs w:val="16"/>
              </w:rPr>
              <w:t>703</w:t>
            </w:r>
          </w:p>
        </w:tc>
        <w:tc>
          <w:tcPr>
            <w:tcW w:w="995" w:type="dxa"/>
            <w:vAlign w:val="center"/>
          </w:tcPr>
          <w:p w:rsidR="000730A4" w:rsidRPr="00D8373B" w:rsidRDefault="000730A4" w:rsidP="00082134">
            <w:pPr>
              <w:ind w:firstLine="0"/>
              <w:jc w:val="center"/>
              <w:rPr>
                <w:sz w:val="16"/>
                <w:szCs w:val="16"/>
              </w:rPr>
            </w:pPr>
            <w:r w:rsidRPr="00D8373B">
              <w:rPr>
                <w:sz w:val="16"/>
                <w:szCs w:val="16"/>
              </w:rPr>
              <w:t>213</w:t>
            </w:r>
          </w:p>
        </w:tc>
        <w:tc>
          <w:tcPr>
            <w:tcW w:w="1038" w:type="dxa"/>
            <w:vAlign w:val="center"/>
          </w:tcPr>
          <w:p w:rsidR="000730A4" w:rsidRPr="00D8373B" w:rsidRDefault="000730A4" w:rsidP="00082134">
            <w:pPr>
              <w:ind w:firstLine="0"/>
              <w:jc w:val="center"/>
              <w:rPr>
                <w:sz w:val="16"/>
                <w:szCs w:val="16"/>
              </w:rPr>
            </w:pPr>
            <w:r w:rsidRPr="00D8373B">
              <w:rPr>
                <w:sz w:val="16"/>
                <w:szCs w:val="16"/>
              </w:rPr>
              <w:t>385</w:t>
            </w:r>
          </w:p>
        </w:tc>
      </w:tr>
      <w:tr w:rsidR="00082134" w:rsidTr="00082134">
        <w:trPr>
          <w:jc w:val="center"/>
        </w:trPr>
        <w:tc>
          <w:tcPr>
            <w:tcW w:w="1574" w:type="dxa"/>
            <w:vAlign w:val="center"/>
          </w:tcPr>
          <w:p w:rsidR="000730A4" w:rsidRPr="00D8373B" w:rsidRDefault="000730A4" w:rsidP="00082134">
            <w:pPr>
              <w:ind w:firstLine="0"/>
              <w:jc w:val="center"/>
              <w:rPr>
                <w:sz w:val="16"/>
                <w:szCs w:val="16"/>
              </w:rPr>
            </w:pPr>
            <w:r w:rsidRPr="00D8373B">
              <w:rPr>
                <w:sz w:val="16"/>
                <w:szCs w:val="16"/>
              </w:rPr>
              <w:t>Densité</w:t>
            </w:r>
          </w:p>
        </w:tc>
        <w:tc>
          <w:tcPr>
            <w:tcW w:w="1086" w:type="dxa"/>
            <w:vAlign w:val="center"/>
          </w:tcPr>
          <w:p w:rsidR="000730A4" w:rsidRPr="00D8373B" w:rsidRDefault="000730A4" w:rsidP="00082134">
            <w:pPr>
              <w:ind w:firstLine="0"/>
              <w:jc w:val="center"/>
              <w:rPr>
                <w:sz w:val="16"/>
                <w:szCs w:val="16"/>
              </w:rPr>
            </w:pPr>
            <w:r w:rsidRPr="00D8373B">
              <w:rPr>
                <w:sz w:val="16"/>
                <w:szCs w:val="16"/>
              </w:rPr>
              <w:t>2340</w:t>
            </w:r>
          </w:p>
        </w:tc>
        <w:tc>
          <w:tcPr>
            <w:tcW w:w="995" w:type="dxa"/>
            <w:vAlign w:val="center"/>
          </w:tcPr>
          <w:p w:rsidR="000730A4" w:rsidRPr="00D8373B" w:rsidRDefault="000730A4" w:rsidP="00082134">
            <w:pPr>
              <w:ind w:firstLine="0"/>
              <w:jc w:val="center"/>
              <w:rPr>
                <w:sz w:val="16"/>
                <w:szCs w:val="16"/>
              </w:rPr>
            </w:pPr>
            <w:r w:rsidRPr="00D8373B">
              <w:rPr>
                <w:sz w:val="16"/>
                <w:szCs w:val="16"/>
              </w:rPr>
              <w:t>7280</w:t>
            </w:r>
          </w:p>
        </w:tc>
        <w:tc>
          <w:tcPr>
            <w:tcW w:w="1038" w:type="dxa"/>
            <w:vAlign w:val="center"/>
          </w:tcPr>
          <w:p w:rsidR="000730A4" w:rsidRPr="00D8373B" w:rsidRDefault="000730A4" w:rsidP="00082134">
            <w:pPr>
              <w:ind w:firstLine="0"/>
              <w:jc w:val="center"/>
              <w:rPr>
                <w:sz w:val="16"/>
                <w:szCs w:val="16"/>
              </w:rPr>
            </w:pPr>
            <w:r w:rsidRPr="00D8373B">
              <w:rPr>
                <w:sz w:val="16"/>
                <w:szCs w:val="16"/>
              </w:rPr>
              <w:t>8960</w:t>
            </w:r>
          </w:p>
        </w:tc>
      </w:tr>
    </w:tbl>
    <w:p w:rsidR="00982F03" w:rsidRDefault="00982F03" w:rsidP="00B35E15">
      <w:pPr>
        <w:ind w:firstLine="0"/>
      </w:pPr>
    </w:p>
    <w:p w:rsidR="00C63199" w:rsidRDefault="001362BF" w:rsidP="0067016E">
      <w:pPr>
        <w:pStyle w:val="Titre2"/>
      </w:pPr>
      <w:bookmarkStart w:id="0" w:name="_Ref346912508"/>
      <w:r>
        <w:t>Composante électrique</w:t>
      </w:r>
    </w:p>
    <w:p w:rsidR="005F39B0" w:rsidRPr="001E37C3" w:rsidRDefault="006F6BD9" w:rsidP="006F6BD9">
      <w:pPr>
        <w:ind w:firstLine="0"/>
        <w:rPr>
          <w:spacing w:val="-2"/>
        </w:rPr>
      </w:pPr>
      <w:r>
        <w:rPr>
          <w:spacing w:val="-2"/>
        </w:rPr>
        <w:t xml:space="preserve">La composante électrique est </w:t>
      </w:r>
      <w:r w:rsidRPr="00436887">
        <w:rPr>
          <w:spacing w:val="-2"/>
        </w:rPr>
        <w:t xml:space="preserve">un modèle électrique de l’IGBT </w:t>
      </w:r>
      <w:r>
        <w:rPr>
          <w:spacing w:val="-2"/>
        </w:rPr>
        <w:t>à structure ver</w:t>
      </w:r>
      <w:r w:rsidR="00A80D5D">
        <w:rPr>
          <w:spacing w:val="-2"/>
        </w:rPr>
        <w:t>ticale</w:t>
      </w:r>
      <w:r w:rsidRPr="00436887">
        <w:rPr>
          <w:spacing w:val="-2"/>
        </w:rPr>
        <w:t xml:space="preserve">. </w:t>
      </w:r>
      <w:r>
        <w:rPr>
          <w:spacing w:val="-2"/>
        </w:rPr>
        <w:t xml:space="preserve">Ce modèle s’inspire du </w:t>
      </w:r>
      <w:r w:rsidRPr="00436887">
        <w:rPr>
          <w:spacing w:val="-2"/>
        </w:rPr>
        <w:t>modèle d</w:t>
      </w:r>
      <w:r w:rsidR="00745E97">
        <w:rPr>
          <w:spacing w:val="-2"/>
        </w:rPr>
        <w:t xml:space="preserve">e </w:t>
      </w:r>
      <w:r w:rsidRPr="00436887">
        <w:rPr>
          <w:spacing w:val="-2"/>
        </w:rPr>
        <w:t xml:space="preserve">Hefner de l’IGBT </w:t>
      </w:r>
      <w:r w:rsidRPr="001E37C3">
        <w:rPr>
          <w:spacing w:val="-2"/>
        </w:rPr>
        <w:t>[1]</w:t>
      </w:r>
      <w:r w:rsidRPr="00162842">
        <w:rPr>
          <w:spacing w:val="-2"/>
        </w:rPr>
        <w:t>.</w:t>
      </w:r>
      <w:r w:rsidR="00745E97">
        <w:rPr>
          <w:spacing w:val="-2"/>
        </w:rPr>
        <w:t xml:space="preserve"> </w:t>
      </w:r>
      <w:r w:rsidRPr="001E37C3">
        <w:rPr>
          <w:spacing w:val="-2"/>
        </w:rPr>
        <w:t>A l’instar de la composante thermique, la composante électrique est un modèle distribué afin de pouvoir réaliser le couplage des deux entités. A chaque nœud central de la couche de la puce</w:t>
      </w:r>
      <w:r w:rsidR="0067016E" w:rsidRPr="001E37C3">
        <w:rPr>
          <w:spacing w:val="-2"/>
        </w:rPr>
        <w:t>,</w:t>
      </w:r>
      <w:r w:rsidRPr="001E37C3">
        <w:rPr>
          <w:spacing w:val="-2"/>
        </w:rPr>
        <w:t xml:space="preserve"> correspond un modèle électrique IGBT élémentaire d</w:t>
      </w:r>
      <w:r w:rsidR="00E5142B">
        <w:rPr>
          <w:spacing w:val="-2"/>
        </w:rPr>
        <w:t xml:space="preserve">e </w:t>
      </w:r>
      <w:r w:rsidRPr="001E37C3">
        <w:rPr>
          <w:spacing w:val="-2"/>
        </w:rPr>
        <w:t>Hefner. Les émetteurs du réseau d'IGBT</w:t>
      </w:r>
      <w:r w:rsidR="00745E97">
        <w:rPr>
          <w:spacing w:val="-2"/>
        </w:rPr>
        <w:t xml:space="preserve"> </w:t>
      </w:r>
      <w:r w:rsidRPr="001E37C3">
        <w:rPr>
          <w:spacing w:val="-2"/>
        </w:rPr>
        <w:t xml:space="preserve">élémentaires sont reliés </w:t>
      </w:r>
      <w:r w:rsidR="0067016E" w:rsidRPr="001E37C3">
        <w:rPr>
          <w:spacing w:val="-2"/>
        </w:rPr>
        <w:t>au</w:t>
      </w:r>
      <w:r w:rsidRPr="001E37C3">
        <w:rPr>
          <w:spacing w:val="-2"/>
        </w:rPr>
        <w:t xml:space="preserve"> réseau de résistances </w:t>
      </w:r>
      <w:r w:rsidR="0067016E" w:rsidRPr="001E37C3">
        <w:rPr>
          <w:spacing w:val="-2"/>
        </w:rPr>
        <w:t>représenta</w:t>
      </w:r>
      <w:r w:rsidRPr="001E37C3">
        <w:rPr>
          <w:spacing w:val="-2"/>
        </w:rPr>
        <w:t>nt la</w:t>
      </w:r>
      <w:r w:rsidR="0067016E" w:rsidRPr="001E37C3">
        <w:rPr>
          <w:spacing w:val="-2"/>
        </w:rPr>
        <w:t xml:space="preserve"> couche de</w:t>
      </w:r>
      <w:r w:rsidRPr="001E37C3">
        <w:rPr>
          <w:spacing w:val="-2"/>
        </w:rPr>
        <w:t xml:space="preserve"> métalli</w:t>
      </w:r>
      <w:r w:rsidR="0067016E" w:rsidRPr="001E37C3">
        <w:rPr>
          <w:spacing w:val="-2"/>
        </w:rPr>
        <w:t>sation supérieure d'émetteur</w:t>
      </w:r>
      <w:r w:rsidR="0008501E" w:rsidRPr="001E37C3">
        <w:rPr>
          <w:spacing w:val="-2"/>
        </w:rPr>
        <w:t>, alors que,</w:t>
      </w:r>
      <w:r w:rsidR="00745E97">
        <w:rPr>
          <w:spacing w:val="-2"/>
        </w:rPr>
        <w:t xml:space="preserve"> </w:t>
      </w:r>
      <w:r w:rsidR="0008501E" w:rsidRPr="001E37C3">
        <w:rPr>
          <w:spacing w:val="-2"/>
        </w:rPr>
        <w:t>l</w:t>
      </w:r>
      <w:r w:rsidRPr="001E37C3">
        <w:rPr>
          <w:spacing w:val="-2"/>
        </w:rPr>
        <w:t>es collecteurs sont reliés les uns aux autres</w:t>
      </w:r>
      <w:r w:rsidR="00745E97">
        <w:rPr>
          <w:spacing w:val="-2"/>
        </w:rPr>
        <w:t xml:space="preserve"> </w:t>
      </w:r>
      <w:r w:rsidR="000E5D16" w:rsidRPr="001E37C3">
        <w:rPr>
          <w:spacing w:val="-2"/>
        </w:rPr>
        <w:t>comme illustré en</w:t>
      </w:r>
      <w:r w:rsidR="00745E97">
        <w:rPr>
          <w:spacing w:val="-2"/>
        </w:rPr>
        <w:t xml:space="preserve"> </w:t>
      </w:r>
      <w:r w:rsidR="00E60B33" w:rsidRPr="001E37C3">
        <w:rPr>
          <w:spacing w:val="-2"/>
        </w:rPr>
        <w:t>figure 2</w:t>
      </w:r>
      <w:r w:rsidRPr="001E37C3">
        <w:rPr>
          <w:spacing w:val="-2"/>
        </w:rPr>
        <w:t>. Chaque macrocellule est définie par le modèle d’IGBT de Hefner</w:t>
      </w:r>
      <w:r w:rsidR="00E5142B">
        <w:rPr>
          <w:spacing w:val="-2"/>
        </w:rPr>
        <w:t xml:space="preserve"> </w:t>
      </w:r>
      <w:r w:rsidR="00E60B33" w:rsidRPr="001E37C3">
        <w:rPr>
          <w:spacing w:val="-2"/>
        </w:rPr>
        <w:t xml:space="preserve">dans lequel </w:t>
      </w:r>
      <w:r w:rsidRPr="001E37C3">
        <w:rPr>
          <w:spacing w:val="-2"/>
        </w:rPr>
        <w:t>les paramètres électriques sont fonction de la température. La puce active est ainsi discrétisée en position (x, y) et le problème est également résolu en temporel</w:t>
      </w:r>
      <w:r w:rsidR="005F39B0" w:rsidRPr="001E37C3">
        <w:rPr>
          <w:spacing w:val="-2"/>
        </w:rPr>
        <w:t>.</w:t>
      </w:r>
    </w:p>
    <w:p w:rsidR="006F6BD9" w:rsidRDefault="005F39B0" w:rsidP="005F39B0">
      <w:pPr>
        <w:ind w:firstLine="0"/>
        <w:jc w:val="center"/>
        <w:rPr>
          <w:color w:val="000000"/>
        </w:rPr>
      </w:pPr>
      <w:r>
        <w:rPr>
          <w:noProof/>
          <w:color w:val="000000"/>
          <w:lang w:eastAsia="fr-FR"/>
        </w:rPr>
        <w:drawing>
          <wp:inline distT="0" distB="0" distL="0" distR="0">
            <wp:extent cx="2609215" cy="14814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09215" cy="1481455"/>
                    </a:xfrm>
                    <a:prstGeom prst="rect">
                      <a:avLst/>
                    </a:prstGeom>
                    <a:noFill/>
                  </pic:spPr>
                </pic:pic>
              </a:graphicData>
            </a:graphic>
          </wp:inline>
        </w:drawing>
      </w:r>
    </w:p>
    <w:p w:rsidR="006F6BD9" w:rsidRDefault="0008501E" w:rsidP="0008501E">
      <w:pPr>
        <w:ind w:firstLine="0"/>
        <w:rPr>
          <w:sz w:val="16"/>
          <w:szCs w:val="16"/>
        </w:rPr>
      </w:pPr>
      <w:r>
        <w:rPr>
          <w:sz w:val="16"/>
          <w:szCs w:val="16"/>
        </w:rPr>
        <w:t>Fig.2</w:t>
      </w:r>
      <w:r w:rsidR="005F39B0" w:rsidRPr="005F39B0">
        <w:rPr>
          <w:sz w:val="16"/>
          <w:szCs w:val="16"/>
        </w:rPr>
        <w:t xml:space="preserve"> Composante électrique  </w:t>
      </w:r>
    </w:p>
    <w:p w:rsidR="00C32E83" w:rsidRPr="00DA6B74" w:rsidRDefault="00552884" w:rsidP="008D1344">
      <w:pPr>
        <w:rPr>
          <w:spacing w:val="-2"/>
        </w:rPr>
      </w:pPr>
      <w:r w:rsidRPr="00DA6B74">
        <w:rPr>
          <w:spacing w:val="-2"/>
        </w:rPr>
        <w:t xml:space="preserve">Dans cette étude, nous avons utilisé un seul contact bonding, afin d’amplifier les effets liés à non seulement la position mais aussi, au nombre de contact de fils de bonding.  </w:t>
      </w:r>
    </w:p>
    <w:bookmarkEnd w:id="0"/>
    <w:p w:rsidR="008A55B5" w:rsidRPr="006F6BD9" w:rsidRDefault="006F6BD9" w:rsidP="00C63199">
      <w:pPr>
        <w:pStyle w:val="Titre1"/>
        <w:rPr>
          <w:rFonts w:eastAsia="MS Mincho"/>
        </w:rPr>
      </w:pPr>
      <w:r w:rsidRPr="006F6BD9">
        <w:rPr>
          <w:rFonts w:eastAsia="MS Mincho"/>
        </w:rPr>
        <w:t>Prise en compte de latch-up</w:t>
      </w:r>
    </w:p>
    <w:p w:rsidR="0031792D" w:rsidRPr="001E37C3" w:rsidRDefault="006F6BD9" w:rsidP="00C32E83">
      <w:pPr>
        <w:rPr>
          <w:spacing w:val="-2"/>
        </w:rPr>
      </w:pPr>
      <w:r w:rsidRPr="001E37C3">
        <w:rPr>
          <w:spacing w:val="-2"/>
        </w:rPr>
        <w:t>Pour prendre en compte le phénomène du latch-up résultant de la mise en conduction du transistor parasite NPN</w:t>
      </w:r>
      <w:r w:rsidR="00A80D5D">
        <w:rPr>
          <w:spacing w:val="-2"/>
        </w:rPr>
        <w:t>,</w:t>
      </w:r>
      <w:r w:rsidR="00BF35E3">
        <w:rPr>
          <w:spacing w:val="-2"/>
        </w:rPr>
        <w:t xml:space="preserve"> </w:t>
      </w:r>
      <w:r w:rsidR="00E60B33" w:rsidRPr="001E37C3">
        <w:rPr>
          <w:spacing w:val="-2"/>
        </w:rPr>
        <w:t>figure 3</w:t>
      </w:r>
      <w:r w:rsidRPr="001E37C3">
        <w:rPr>
          <w:spacing w:val="-2"/>
        </w:rPr>
        <w:t>, le modèle d</w:t>
      </w:r>
      <w:r w:rsidR="00566D86">
        <w:rPr>
          <w:spacing w:val="-2"/>
        </w:rPr>
        <w:t xml:space="preserve">e </w:t>
      </w:r>
      <w:r w:rsidRPr="001E37C3">
        <w:rPr>
          <w:spacing w:val="-2"/>
        </w:rPr>
        <w:t>Hefner a été modifié en introduisant une source supplémentaire de courant (Ilatch) issue du modèle de transistor bipolaire NPN d</w:t>
      </w:r>
      <w:r w:rsidR="00552884">
        <w:rPr>
          <w:spacing w:val="-2"/>
        </w:rPr>
        <w:t xml:space="preserve">e </w:t>
      </w:r>
      <w:r w:rsidRPr="001E37C3">
        <w:rPr>
          <w:spacing w:val="-2"/>
        </w:rPr>
        <w:t>Ebers et Moll</w:t>
      </w:r>
      <w:r w:rsidR="00E01ADA" w:rsidRPr="001E37C3">
        <w:rPr>
          <w:spacing w:val="-2"/>
        </w:rPr>
        <w:t>,</w:t>
      </w:r>
      <w:r w:rsidR="00552884">
        <w:rPr>
          <w:spacing w:val="-2"/>
        </w:rPr>
        <w:t xml:space="preserve"> </w:t>
      </w:r>
      <w:r w:rsidR="00E60B33" w:rsidRPr="001E37C3">
        <w:rPr>
          <w:spacing w:val="-2"/>
        </w:rPr>
        <w:t>comme indiqué en</w:t>
      </w:r>
      <w:r w:rsidR="00DA6B74">
        <w:rPr>
          <w:spacing w:val="-2"/>
        </w:rPr>
        <w:t xml:space="preserve"> </w:t>
      </w:r>
      <w:r w:rsidR="00E60B33" w:rsidRPr="001E37C3">
        <w:rPr>
          <w:spacing w:val="-2"/>
        </w:rPr>
        <w:t>figure 4</w:t>
      </w:r>
      <w:r w:rsidRPr="001E37C3">
        <w:rPr>
          <w:spacing w:val="-2"/>
        </w:rPr>
        <w:t xml:space="preserve">. </w:t>
      </w:r>
    </w:p>
    <w:p w:rsidR="00F44A83" w:rsidRDefault="00F44A83" w:rsidP="00F44A83">
      <w:pPr>
        <w:ind w:firstLine="0"/>
        <w:jc w:val="center"/>
        <w:rPr>
          <w:color w:val="000000"/>
        </w:rPr>
      </w:pPr>
      <w:r>
        <w:rPr>
          <w:noProof/>
          <w:color w:val="000000"/>
          <w:lang w:eastAsia="fr-FR"/>
        </w:rPr>
        <w:lastRenderedPageBreak/>
        <w:drawing>
          <wp:inline distT="0" distB="0" distL="0" distR="0">
            <wp:extent cx="1103630" cy="14020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3630" cy="1402080"/>
                    </a:xfrm>
                    <a:prstGeom prst="rect">
                      <a:avLst/>
                    </a:prstGeom>
                    <a:noFill/>
                  </pic:spPr>
                </pic:pic>
              </a:graphicData>
            </a:graphic>
          </wp:inline>
        </w:drawing>
      </w:r>
    </w:p>
    <w:p w:rsidR="00F44A83" w:rsidRPr="00FE48B5" w:rsidRDefault="0008501E" w:rsidP="00F44A83">
      <w:pPr>
        <w:ind w:firstLine="0"/>
        <w:rPr>
          <w:color w:val="000000"/>
          <w:sz w:val="16"/>
          <w:szCs w:val="16"/>
        </w:rPr>
      </w:pPr>
      <w:r>
        <w:rPr>
          <w:color w:val="000000"/>
          <w:sz w:val="16"/>
          <w:szCs w:val="16"/>
        </w:rPr>
        <w:t>Fig.3</w:t>
      </w:r>
      <w:r w:rsidR="00F44A83" w:rsidRPr="00F44A83">
        <w:rPr>
          <w:color w:val="000000"/>
          <w:sz w:val="16"/>
          <w:szCs w:val="16"/>
        </w:rPr>
        <w:t xml:space="preserve"> Transistor bipolaire NPN parasite            </w:t>
      </w:r>
    </w:p>
    <w:p w:rsidR="00F44A83" w:rsidRDefault="00F44A83" w:rsidP="00F44A83">
      <w:pPr>
        <w:ind w:firstLine="0"/>
        <w:jc w:val="center"/>
        <w:rPr>
          <w:color w:val="000000"/>
        </w:rPr>
      </w:pPr>
      <w:r>
        <w:rPr>
          <w:noProof/>
          <w:color w:val="000000"/>
          <w:lang w:eastAsia="fr-FR"/>
        </w:rPr>
        <w:drawing>
          <wp:inline distT="0" distB="0" distL="0" distR="0">
            <wp:extent cx="1889760" cy="19202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89760" cy="1920240"/>
                    </a:xfrm>
                    <a:prstGeom prst="rect">
                      <a:avLst/>
                    </a:prstGeom>
                    <a:noFill/>
                  </pic:spPr>
                </pic:pic>
              </a:graphicData>
            </a:graphic>
          </wp:inline>
        </w:drawing>
      </w:r>
    </w:p>
    <w:p w:rsidR="00F44A83" w:rsidRPr="00F44A83" w:rsidRDefault="007F79F8" w:rsidP="00F44A83">
      <w:pPr>
        <w:pStyle w:val="Textecourant-actes"/>
        <w:spacing w:line="276" w:lineRule="auto"/>
        <w:ind w:firstLine="0"/>
        <w:rPr>
          <w:color w:val="000000"/>
          <w:sz w:val="16"/>
          <w:szCs w:val="16"/>
        </w:rPr>
      </w:pPr>
      <w:r>
        <w:rPr>
          <w:color w:val="000000"/>
          <w:sz w:val="16"/>
          <w:szCs w:val="16"/>
        </w:rPr>
        <w:t xml:space="preserve">Fig.4 </w:t>
      </w:r>
      <w:r w:rsidR="00F44A83" w:rsidRPr="00F44A83">
        <w:rPr>
          <w:color w:val="000000"/>
          <w:sz w:val="16"/>
          <w:szCs w:val="16"/>
        </w:rPr>
        <w:t xml:space="preserve">Inclusion du courant de latch-up </w:t>
      </w:r>
    </w:p>
    <w:p w:rsidR="006F6BD9" w:rsidRPr="001E37C3" w:rsidRDefault="006F6BD9" w:rsidP="00E01ADA">
      <w:pPr>
        <w:ind w:firstLine="0"/>
        <w:rPr>
          <w:spacing w:val="-2"/>
        </w:rPr>
      </w:pPr>
      <w:r w:rsidRPr="001E37C3">
        <w:rPr>
          <w:spacing w:val="-2"/>
        </w:rPr>
        <w:t>Cette source est contrôlée par la chute de tension aux bornes de la résistance de shunt R</w:t>
      </w:r>
      <w:r w:rsidRPr="00A80D5D">
        <w:rPr>
          <w:spacing w:val="-2"/>
          <w:vertAlign w:val="subscript"/>
        </w:rPr>
        <w:t>sh</w:t>
      </w:r>
      <w:r w:rsidRPr="001E37C3">
        <w:rPr>
          <w:spacing w:val="-2"/>
        </w:rPr>
        <w:t xml:space="preserve"> dans le p-body. La résistance de Shunt a été estimée à environ 6 mΩ</w:t>
      </w:r>
      <w:r w:rsidR="000E6AF2">
        <w:rPr>
          <w:spacing w:val="-2"/>
        </w:rPr>
        <w:t xml:space="preserve"> au niveau d'une macro-cellule</w:t>
      </w:r>
      <w:r w:rsidRPr="001E37C3">
        <w:rPr>
          <w:spacing w:val="-2"/>
        </w:rPr>
        <w:t xml:space="preserve"> pour une puce d’environ 90000 cellules en parallèle qui a été discrétisée en 4 × 4 macro-cellules pour cette étude.</w:t>
      </w:r>
    </w:p>
    <w:p w:rsidR="006F6BD9" w:rsidRPr="006F6BD9" w:rsidRDefault="006F6BD9" w:rsidP="00E2156B">
      <w:pPr>
        <w:pStyle w:val="Titre1"/>
      </w:pPr>
      <w:r>
        <w:t>Effet du vieillissement de la metallisation</w:t>
      </w:r>
    </w:p>
    <w:p w:rsidR="00E01ADA" w:rsidRPr="001E37C3" w:rsidRDefault="00E2156B" w:rsidP="00E2156B">
      <w:pPr>
        <w:ind w:firstLine="0"/>
        <w:rPr>
          <w:spacing w:val="-2"/>
        </w:rPr>
      </w:pPr>
      <w:r w:rsidRPr="001E37C3">
        <w:rPr>
          <w:spacing w:val="-2"/>
        </w:rPr>
        <w:t xml:space="preserve">      Dans cette étude</w:t>
      </w:r>
      <w:r w:rsidR="000E5D16" w:rsidRPr="001E37C3">
        <w:rPr>
          <w:spacing w:val="-2"/>
        </w:rPr>
        <w:t>,</w:t>
      </w:r>
      <w:r w:rsidRPr="001E37C3">
        <w:rPr>
          <w:spacing w:val="-2"/>
        </w:rPr>
        <w:t xml:space="preserve"> le composant IGBT modélisé est un IGBT NPT (30A-600V) validé en VHDL-AMS dans [7]. </w:t>
      </w:r>
    </w:p>
    <w:p w:rsidR="00324D2B" w:rsidRPr="001E37C3" w:rsidRDefault="00E2156B" w:rsidP="00E2156B">
      <w:pPr>
        <w:ind w:firstLine="0"/>
        <w:rPr>
          <w:spacing w:val="-2"/>
        </w:rPr>
      </w:pPr>
      <w:r w:rsidRPr="001E37C3">
        <w:rPr>
          <w:spacing w:val="-2"/>
        </w:rPr>
        <w:t xml:space="preserve">Le circuit électrique utilisé pour les simulations est </w:t>
      </w:r>
      <w:r w:rsidR="000E5D16" w:rsidRPr="001E37C3">
        <w:rPr>
          <w:spacing w:val="-2"/>
        </w:rPr>
        <w:t>construit autour d'une tension de source qui a été fixée à 450 V, les éléments parasites, R</w:t>
      </w:r>
      <w:r w:rsidR="000E5D16" w:rsidRPr="00EC1E1D">
        <w:rPr>
          <w:spacing w:val="-2"/>
          <w:vertAlign w:val="subscript"/>
        </w:rPr>
        <w:t>p</w:t>
      </w:r>
      <w:r w:rsidR="000E5D16" w:rsidRPr="001E37C3">
        <w:rPr>
          <w:spacing w:val="-2"/>
        </w:rPr>
        <w:t xml:space="preserve"> = 5 mΩ et L</w:t>
      </w:r>
      <w:r w:rsidR="000E5D16" w:rsidRPr="00EC1E1D">
        <w:rPr>
          <w:spacing w:val="-2"/>
          <w:vertAlign w:val="subscript"/>
        </w:rPr>
        <w:t>p</w:t>
      </w:r>
      <w:r w:rsidR="000E5D16" w:rsidRPr="001E37C3">
        <w:rPr>
          <w:spacing w:val="-2"/>
        </w:rPr>
        <w:t xml:space="preserve"> = 10 nH, comme montré </w:t>
      </w:r>
      <w:r w:rsidR="00E01ADA" w:rsidRPr="001E37C3">
        <w:rPr>
          <w:spacing w:val="-2"/>
        </w:rPr>
        <w:t>en  figure 5.</w:t>
      </w:r>
    </w:p>
    <w:p w:rsidR="00324D2B" w:rsidRDefault="00324D2B" w:rsidP="000E5D16">
      <w:pPr>
        <w:ind w:firstLine="0"/>
        <w:jc w:val="center"/>
        <w:rPr>
          <w:noProof/>
          <w:color w:val="000000"/>
          <w:lang w:eastAsia="fr-FR"/>
        </w:rPr>
      </w:pPr>
      <w:r>
        <w:rPr>
          <w:noProof/>
          <w:color w:val="000000"/>
          <w:lang w:eastAsia="fr-FR"/>
        </w:rPr>
        <w:drawing>
          <wp:inline distT="0" distB="0" distL="0" distR="0">
            <wp:extent cx="1630142" cy="136347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5764" cy="1368177"/>
                    </a:xfrm>
                    <a:prstGeom prst="rect">
                      <a:avLst/>
                    </a:prstGeom>
                    <a:noFill/>
                  </pic:spPr>
                </pic:pic>
              </a:graphicData>
            </a:graphic>
          </wp:inline>
        </w:drawing>
      </w:r>
    </w:p>
    <w:p w:rsidR="005D5AB1" w:rsidRPr="00324D2B" w:rsidRDefault="00323067" w:rsidP="00E2156B">
      <w:pPr>
        <w:ind w:firstLine="0"/>
        <w:rPr>
          <w:color w:val="000000"/>
        </w:rPr>
      </w:pPr>
      <w:r>
        <w:rPr>
          <w:sz w:val="16"/>
          <w:szCs w:val="16"/>
        </w:rPr>
        <w:t>Fig.5</w:t>
      </w:r>
      <w:r w:rsidR="000E5D16">
        <w:rPr>
          <w:color w:val="000000"/>
          <w:sz w:val="16"/>
          <w:szCs w:val="16"/>
        </w:rPr>
        <w:t xml:space="preserve"> Schéma électrique </w:t>
      </w:r>
    </w:p>
    <w:p w:rsidR="00B82C58" w:rsidRDefault="00E2156B" w:rsidP="00E2156B">
      <w:pPr>
        <w:ind w:firstLine="0"/>
        <w:rPr>
          <w:spacing w:val="-2"/>
        </w:rPr>
      </w:pPr>
      <w:r w:rsidRPr="001E37C3">
        <w:rPr>
          <w:spacing w:val="-2"/>
        </w:rPr>
        <w:t>Le circuit de grille est simplifié à l’aide d’une résistance de grille (R</w:t>
      </w:r>
      <w:r w:rsidRPr="00EC1E1D">
        <w:rPr>
          <w:spacing w:val="-2"/>
          <w:vertAlign w:val="subscript"/>
        </w:rPr>
        <w:t>g</w:t>
      </w:r>
      <w:r w:rsidRPr="001E37C3">
        <w:rPr>
          <w:spacing w:val="-2"/>
        </w:rPr>
        <w:t xml:space="preserve"> = 2 Ω) et d’une source de tension de grille (E</w:t>
      </w:r>
      <w:r w:rsidRPr="00EC1E1D">
        <w:rPr>
          <w:spacing w:val="-2"/>
          <w:vertAlign w:val="subscript"/>
        </w:rPr>
        <w:t>g</w:t>
      </w:r>
      <w:r w:rsidRPr="001E37C3">
        <w:rPr>
          <w:spacing w:val="-2"/>
        </w:rPr>
        <w:t>).</w:t>
      </w:r>
      <w:r w:rsidR="00B82C58">
        <w:rPr>
          <w:spacing w:val="-2"/>
        </w:rPr>
        <w:t xml:space="preserve"> </w:t>
      </w:r>
    </w:p>
    <w:p w:rsidR="00E01ADA" w:rsidRPr="001E37C3" w:rsidRDefault="00B82C58" w:rsidP="008D1344">
      <w:pPr>
        <w:autoSpaceDE w:val="0"/>
        <w:autoSpaceDN w:val="0"/>
        <w:adjustRightInd w:val="0"/>
        <w:rPr>
          <w:spacing w:val="-2"/>
        </w:rPr>
      </w:pPr>
      <w:r>
        <w:rPr>
          <w:color w:val="000000"/>
        </w:rPr>
        <w:t>Pour des raisons de convergence numérique, dans une première phase, entre t = 0 et 18 µs, l</w:t>
      </w:r>
      <w:r w:rsidRPr="00473D98">
        <w:rPr>
          <w:color w:val="000000"/>
        </w:rPr>
        <w:t xml:space="preserve">a tension </w:t>
      </w:r>
      <w:r>
        <w:rPr>
          <w:color w:val="000000"/>
        </w:rPr>
        <w:t>V</w:t>
      </w:r>
      <w:r w:rsidRPr="00473D98">
        <w:rPr>
          <w:color w:val="000000"/>
          <w:vertAlign w:val="subscript"/>
        </w:rPr>
        <w:t>CE</w:t>
      </w:r>
      <w:r>
        <w:rPr>
          <w:color w:val="000000"/>
          <w:vertAlign w:val="subscript"/>
        </w:rPr>
        <w:t xml:space="preserve"> </w:t>
      </w:r>
      <w:r w:rsidRPr="00473D98">
        <w:rPr>
          <w:color w:val="000000"/>
        </w:rPr>
        <w:t>est augmenté</w:t>
      </w:r>
      <w:r>
        <w:rPr>
          <w:color w:val="000000"/>
        </w:rPr>
        <w:t xml:space="preserve">e de façon linéaire pour atteindre la valeur souhaitée pour la phase de court-circuit (450 V). A cet instant, l’IGBT </w:t>
      </w:r>
      <w:r>
        <w:rPr>
          <w:color w:val="000000"/>
        </w:rPr>
        <w:lastRenderedPageBreak/>
        <w:t xml:space="preserve">supporte à ses bornes une tension d'alimentation et est bloqué. A l'instant t = 20 µs, un ordre de commande de fermeture est donné avec l'application d’une tension de grille de 15 V, enclenchant ainsi le régime de court-circuit. Le courant atteint rapidement un maximum avant de diminuer à cause de la température croissante qui réduit les mobilités des porteurs. Un ordre de blocage sur la grille est donné au bout de 30 µs, à partir duquel nous pouvons observer la chute brutale du courant collecteur et un courant de trainée due à la charge restant encore stockée dans le composant et à la température atteinte à cet instant. </w:t>
      </w:r>
    </w:p>
    <w:p w:rsidR="005D5AB1" w:rsidRDefault="00E2156B" w:rsidP="00E2156B">
      <w:pPr>
        <w:ind w:firstLine="0"/>
        <w:rPr>
          <w:color w:val="000000"/>
        </w:rPr>
      </w:pPr>
      <w:r w:rsidRPr="001E37C3">
        <w:rPr>
          <w:spacing w:val="-2"/>
        </w:rPr>
        <w:t>Les formes d’on</w:t>
      </w:r>
      <w:r w:rsidR="000E5D16" w:rsidRPr="001E37C3">
        <w:rPr>
          <w:spacing w:val="-2"/>
        </w:rPr>
        <w:t xml:space="preserve">des de l’IGBT en court-circuit </w:t>
      </w:r>
      <w:r w:rsidRPr="001E37C3">
        <w:rPr>
          <w:spacing w:val="-2"/>
        </w:rPr>
        <w:t xml:space="preserve">sont présentées </w:t>
      </w:r>
      <w:r w:rsidR="00E01ADA" w:rsidRPr="001E37C3">
        <w:rPr>
          <w:spacing w:val="-2"/>
        </w:rPr>
        <w:t>en figure 6</w:t>
      </w:r>
      <w:r w:rsidRPr="001E37C3">
        <w:rPr>
          <w:spacing w:val="-2"/>
        </w:rPr>
        <w:t xml:space="preserve">. </w:t>
      </w:r>
    </w:p>
    <w:p w:rsidR="005D5AB1" w:rsidRDefault="00324D2B" w:rsidP="005D5AB1">
      <w:pPr>
        <w:ind w:firstLine="0"/>
        <w:jc w:val="center"/>
        <w:rPr>
          <w:color w:val="000000"/>
        </w:rPr>
      </w:pPr>
      <w:r>
        <w:rPr>
          <w:noProof/>
          <w:color w:val="000000"/>
          <w:lang w:eastAsia="fr-FR"/>
        </w:rPr>
        <w:drawing>
          <wp:inline distT="0" distB="0" distL="0" distR="0">
            <wp:extent cx="3072765" cy="27616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72765" cy="2761615"/>
                    </a:xfrm>
                    <a:prstGeom prst="rect">
                      <a:avLst/>
                    </a:prstGeom>
                    <a:noFill/>
                  </pic:spPr>
                </pic:pic>
              </a:graphicData>
            </a:graphic>
          </wp:inline>
        </w:drawing>
      </w:r>
    </w:p>
    <w:p w:rsidR="005D5AB1" w:rsidRPr="005D5AB1" w:rsidRDefault="00323067" w:rsidP="00E2156B">
      <w:pPr>
        <w:ind w:firstLine="0"/>
        <w:rPr>
          <w:color w:val="000000"/>
          <w:sz w:val="16"/>
          <w:szCs w:val="16"/>
        </w:rPr>
      </w:pPr>
      <w:r>
        <w:rPr>
          <w:sz w:val="16"/>
          <w:szCs w:val="16"/>
        </w:rPr>
        <w:t xml:space="preserve">Fig.6 </w:t>
      </w:r>
      <w:r w:rsidR="005D5AB1" w:rsidRPr="005D5AB1">
        <w:rPr>
          <w:color w:val="000000"/>
          <w:sz w:val="16"/>
          <w:szCs w:val="16"/>
        </w:rPr>
        <w:t xml:space="preserve">Formes d’ondes de court-circuit                 </w:t>
      </w:r>
    </w:p>
    <w:p w:rsidR="00B82C58" w:rsidRDefault="00B82C58" w:rsidP="00E2156B">
      <w:pPr>
        <w:ind w:firstLine="0"/>
        <w:rPr>
          <w:spacing w:val="-2"/>
        </w:rPr>
      </w:pPr>
      <w:r>
        <w:rPr>
          <w:color w:val="000000"/>
        </w:rPr>
        <w:t xml:space="preserve">Une </w:t>
      </w:r>
      <w:r w:rsidRPr="00473D98">
        <w:rPr>
          <w:color w:val="000000"/>
        </w:rPr>
        <w:t>surtension, due à la</w:t>
      </w:r>
      <w:r>
        <w:rPr>
          <w:color w:val="000000"/>
        </w:rPr>
        <w:t xml:space="preserve"> présence d’une</w:t>
      </w:r>
      <w:r w:rsidRPr="00473D98">
        <w:rPr>
          <w:color w:val="000000"/>
        </w:rPr>
        <w:t xml:space="preserve"> faible inductance parasite</w:t>
      </w:r>
      <w:r>
        <w:rPr>
          <w:color w:val="000000"/>
        </w:rPr>
        <w:t xml:space="preserve"> (</w:t>
      </w:r>
      <w:r w:rsidRPr="00473D98">
        <w:rPr>
          <w:color w:val="000000"/>
        </w:rPr>
        <w:t>L</w:t>
      </w:r>
      <w:r w:rsidRPr="00B82C58">
        <w:rPr>
          <w:color w:val="000000"/>
          <w:vertAlign w:val="subscript"/>
        </w:rPr>
        <w:t>p</w:t>
      </w:r>
      <w:r>
        <w:rPr>
          <w:color w:val="000000"/>
        </w:rPr>
        <w:t>)</w:t>
      </w:r>
      <w:r w:rsidRPr="00473D98">
        <w:rPr>
          <w:color w:val="000000"/>
        </w:rPr>
        <w:t>, est produite pendant l</w:t>
      </w:r>
      <w:r>
        <w:rPr>
          <w:color w:val="000000"/>
        </w:rPr>
        <w:t>es</w:t>
      </w:r>
      <w:r w:rsidRPr="00473D98">
        <w:rPr>
          <w:color w:val="000000"/>
        </w:rPr>
        <w:t xml:space="preserve"> commutation</w:t>
      </w:r>
      <w:r>
        <w:rPr>
          <w:color w:val="000000"/>
        </w:rPr>
        <w:t>s. Nous verrons aussi comment influe la valeur de cette inductance parasite sur le déclenchement possible du thyristor parasite contenu dans la structure interne de l'IGBT</w:t>
      </w:r>
    </w:p>
    <w:p w:rsidR="006F6BD9" w:rsidRPr="001E37C3" w:rsidRDefault="00E2156B" w:rsidP="00E2156B">
      <w:pPr>
        <w:ind w:firstLine="0"/>
        <w:rPr>
          <w:spacing w:val="-2"/>
        </w:rPr>
      </w:pPr>
      <w:r w:rsidRPr="001E37C3">
        <w:rPr>
          <w:spacing w:val="-2"/>
        </w:rPr>
        <w:t>Pour mettre en évidence les effets du vieillissement de la couche de métallisation de la puce IGBT considérée, nous avons utilisé le</w:t>
      </w:r>
      <w:r w:rsidR="00E01ADA" w:rsidRPr="001E37C3">
        <w:rPr>
          <w:spacing w:val="-2"/>
        </w:rPr>
        <w:t xml:space="preserve"> modèle électrothermique d’IGBT</w:t>
      </w:r>
      <w:r w:rsidR="005D5AB1" w:rsidRPr="001E37C3">
        <w:rPr>
          <w:spacing w:val="-2"/>
        </w:rPr>
        <w:t>.</w:t>
      </w:r>
      <w:r w:rsidRPr="001E37C3">
        <w:rPr>
          <w:spacing w:val="-2"/>
        </w:rPr>
        <w:t xml:space="preserve"> Dans un</w:t>
      </w:r>
      <w:r w:rsidR="00A80D5D">
        <w:rPr>
          <w:spacing w:val="-2"/>
        </w:rPr>
        <w:t xml:space="preserve"> premiers temps, le composant </w:t>
      </w:r>
      <w:r w:rsidRPr="001E37C3">
        <w:rPr>
          <w:spacing w:val="-2"/>
        </w:rPr>
        <w:t>IGBT est considéré avec une couche de métallisation non vieillie et de conductivité électrique σ0.</w:t>
      </w:r>
    </w:p>
    <w:p w:rsidR="000E5D16" w:rsidRPr="001E37C3" w:rsidRDefault="00E2156B" w:rsidP="00E2156B">
      <w:pPr>
        <w:ind w:firstLine="0"/>
        <w:rPr>
          <w:spacing w:val="-2"/>
        </w:rPr>
      </w:pPr>
      <w:r w:rsidRPr="001E37C3">
        <w:rPr>
          <w:spacing w:val="-2"/>
        </w:rPr>
        <w:t>Dans un second temps, le vieillissement est considéré à travers la détérioration de sa conductivité (σ0 / 2). En effet, de</w:t>
      </w:r>
      <w:r>
        <w:rPr>
          <w:color w:val="000000"/>
        </w:rPr>
        <w:t xml:space="preserve"> précédents </w:t>
      </w:r>
      <w:r w:rsidRPr="001E37C3">
        <w:rPr>
          <w:spacing w:val="-2"/>
        </w:rPr>
        <w:t>travaux ont démontré que la conductivité électrique de la couche de métallisation supérieure peut être réduite d'un facteur supérieur à 2 après vieillissement du composant IGBT en régimes extrêmes de court-circuit répétitif [8, 9]. Cette métallisation d'émetteur, assimilée à une couche d'aluminium de 3 μm d'épaisseur avec une aire égale à celle de la partie active de la puce de silicium présente à l'état initial (avant le vieillissement), une conductivité électrique de σ0 = 38×106S m</w:t>
      </w:r>
      <w:r w:rsidRPr="00EC1E1D">
        <w:rPr>
          <w:spacing w:val="-2"/>
          <w:vertAlign w:val="superscript"/>
        </w:rPr>
        <w:t>-1</w:t>
      </w:r>
      <w:r w:rsidRPr="001E37C3">
        <w:rPr>
          <w:spacing w:val="-2"/>
        </w:rPr>
        <w:t>. Après vieillissement, la conductivité électrique de la couche de métallisation a été prise à 19×106 S m</w:t>
      </w:r>
      <w:r w:rsidRPr="00A50E0A">
        <w:rPr>
          <w:spacing w:val="-2"/>
          <w:vertAlign w:val="superscript"/>
        </w:rPr>
        <w:t>-1</w:t>
      </w:r>
      <w:r w:rsidRPr="001E37C3">
        <w:rPr>
          <w:spacing w:val="-2"/>
        </w:rPr>
        <w:t xml:space="preserve"> pour se rapprocher des observations expérimentales. Pour des raisons de simplification, le vieillissement de la métallisation est supposé </w:t>
      </w:r>
      <w:r w:rsidRPr="001E37C3">
        <w:rPr>
          <w:spacing w:val="-2"/>
        </w:rPr>
        <w:lastRenderedPageBreak/>
        <w:t xml:space="preserve">uniforme. En fait, le vieillissement de cette couche devrait dépendre des variations de température locale et donc être non uniforme. </w:t>
      </w:r>
    </w:p>
    <w:p w:rsidR="000E5D16" w:rsidRPr="000E5D16" w:rsidRDefault="000E5D16" w:rsidP="000E5D16">
      <w:pPr>
        <w:pStyle w:val="Titre2"/>
        <w:rPr>
          <w:lang w:val="fr-FR"/>
        </w:rPr>
      </w:pPr>
      <w:r>
        <w:rPr>
          <w:lang w:val="fr-FR"/>
        </w:rPr>
        <w:t>Effet du vieillissement sur les formes d’ondes de</w:t>
      </w:r>
      <w:r w:rsidRPr="000E5D16">
        <w:rPr>
          <w:lang w:val="fr-FR"/>
        </w:rPr>
        <w:t xml:space="preserve"> courant total de court-circuit.</w:t>
      </w:r>
    </w:p>
    <w:p w:rsidR="005D5AB1" w:rsidRPr="001E37C3" w:rsidRDefault="000E5D16" w:rsidP="00E2156B">
      <w:pPr>
        <w:ind w:firstLine="0"/>
        <w:rPr>
          <w:spacing w:val="-2"/>
        </w:rPr>
      </w:pPr>
      <w:r w:rsidRPr="001E37C3">
        <w:rPr>
          <w:spacing w:val="-2"/>
        </w:rPr>
        <w:t xml:space="preserve">Le niveau de courant de court-circuit de l’IGBT ici, est la </w:t>
      </w:r>
      <w:r w:rsidR="00E2156B" w:rsidRPr="001E37C3">
        <w:rPr>
          <w:spacing w:val="-2"/>
        </w:rPr>
        <w:t>somme des composantes des courants de court-circuit trav</w:t>
      </w:r>
      <w:r w:rsidRPr="001E37C3">
        <w:rPr>
          <w:spacing w:val="-2"/>
        </w:rPr>
        <w:t xml:space="preserve">ersés par chaque macro-cellule. Le niveau de courant de court-circuit </w:t>
      </w:r>
      <w:r w:rsidR="00E2156B" w:rsidRPr="001E37C3">
        <w:rPr>
          <w:spacing w:val="-2"/>
        </w:rPr>
        <w:t>dans l’IGBT doté d’une métallisation "vieillie"</w:t>
      </w:r>
      <w:r w:rsidRPr="001E37C3">
        <w:rPr>
          <w:spacing w:val="-2"/>
        </w:rPr>
        <w:t>,</w:t>
      </w:r>
      <w:r w:rsidR="00E2156B" w:rsidRPr="001E37C3">
        <w:rPr>
          <w:spacing w:val="-2"/>
        </w:rPr>
        <w:t xml:space="preserve"> est comparé au niveau de courant de court-circuit qui traverse l’IGBT doté d’une métallisation "non vieillie" </w:t>
      </w:r>
      <w:r w:rsidRPr="001E37C3">
        <w:rPr>
          <w:spacing w:val="-2"/>
        </w:rPr>
        <w:t xml:space="preserve">voir </w:t>
      </w:r>
      <w:r w:rsidR="00E01ADA" w:rsidRPr="001E37C3">
        <w:rPr>
          <w:spacing w:val="-2"/>
        </w:rPr>
        <w:t>figure 7</w:t>
      </w:r>
      <w:r w:rsidR="00E2156B" w:rsidRPr="001E37C3">
        <w:rPr>
          <w:spacing w:val="-2"/>
        </w:rPr>
        <w:t xml:space="preserve">. </w:t>
      </w:r>
    </w:p>
    <w:p w:rsidR="005D5AB1" w:rsidRDefault="00324D2B" w:rsidP="005D5AB1">
      <w:pPr>
        <w:ind w:firstLine="0"/>
        <w:jc w:val="center"/>
        <w:rPr>
          <w:color w:val="000000"/>
        </w:rPr>
      </w:pPr>
      <w:r>
        <w:rPr>
          <w:noProof/>
          <w:color w:val="000000"/>
          <w:lang w:eastAsia="fr-FR"/>
        </w:rPr>
        <w:drawing>
          <wp:inline distT="0" distB="0" distL="0" distR="0">
            <wp:extent cx="3371215" cy="265811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71215" cy="2658110"/>
                    </a:xfrm>
                    <a:prstGeom prst="rect">
                      <a:avLst/>
                    </a:prstGeom>
                    <a:noFill/>
                  </pic:spPr>
                </pic:pic>
              </a:graphicData>
            </a:graphic>
          </wp:inline>
        </w:drawing>
      </w:r>
    </w:p>
    <w:p w:rsidR="005D5AB1" w:rsidRPr="005D5AB1" w:rsidRDefault="00323067" w:rsidP="00E2156B">
      <w:pPr>
        <w:ind w:firstLine="0"/>
        <w:rPr>
          <w:color w:val="000000"/>
          <w:sz w:val="16"/>
          <w:szCs w:val="16"/>
        </w:rPr>
      </w:pPr>
      <w:r>
        <w:rPr>
          <w:sz w:val="16"/>
          <w:szCs w:val="16"/>
        </w:rPr>
        <w:t>Fig.7</w:t>
      </w:r>
      <w:r w:rsidR="005D5AB1" w:rsidRPr="005D5AB1">
        <w:rPr>
          <w:color w:val="000000"/>
          <w:sz w:val="16"/>
          <w:szCs w:val="16"/>
        </w:rPr>
        <w:t>Effet du vieillissement</w:t>
      </w:r>
      <w:r w:rsidR="00B4267C">
        <w:rPr>
          <w:color w:val="000000"/>
          <w:sz w:val="16"/>
          <w:szCs w:val="16"/>
        </w:rPr>
        <w:t xml:space="preserve"> sur les formes d’ondes de courant de court-circuit</w:t>
      </w:r>
    </w:p>
    <w:p w:rsidR="00E2156B" w:rsidRPr="001E37C3" w:rsidRDefault="00E2156B" w:rsidP="00E2156B">
      <w:pPr>
        <w:ind w:firstLine="0"/>
        <w:rPr>
          <w:spacing w:val="-2"/>
        </w:rPr>
      </w:pPr>
      <w:r w:rsidRPr="001E37C3">
        <w:rPr>
          <w:spacing w:val="-2"/>
        </w:rPr>
        <w:t>La diminution de</w:t>
      </w:r>
      <w:r w:rsidR="00E01ADA" w:rsidRPr="001E37C3">
        <w:rPr>
          <w:spacing w:val="-2"/>
        </w:rPr>
        <w:t xml:space="preserve"> la</w:t>
      </w:r>
      <w:r w:rsidRPr="001E37C3">
        <w:rPr>
          <w:spacing w:val="-2"/>
        </w:rPr>
        <w:t xml:space="preserve"> résistivité de la métallisation, représentant son vieillissement, entraine une réduction significative du niveau de courant de court-circuit par rapport à la situation non vieillie. Ainsi comme cela avait déjà été observé expérimentalement dans [10], nos résultats confirment le fait que les niveaux de courant de court-circuit ont tendance à baisser avec le vieillissement de la couche de métallisation.</w:t>
      </w:r>
    </w:p>
    <w:p w:rsidR="000E5D16" w:rsidRPr="000E5D16" w:rsidRDefault="000E5D16" w:rsidP="000E5D16">
      <w:pPr>
        <w:pStyle w:val="Titre2"/>
        <w:rPr>
          <w:lang w:val="fr-FR"/>
        </w:rPr>
      </w:pPr>
      <w:r w:rsidRPr="000E5D16">
        <w:rPr>
          <w:lang w:val="fr-FR"/>
        </w:rPr>
        <w:t xml:space="preserve">Effet du vieillissement sur </w:t>
      </w:r>
      <w:r>
        <w:rPr>
          <w:lang w:val="fr-FR"/>
        </w:rPr>
        <w:t xml:space="preserve">les </w:t>
      </w:r>
      <w:r w:rsidRPr="000E5D16">
        <w:rPr>
          <w:lang w:val="fr-FR"/>
        </w:rPr>
        <w:t>dis</w:t>
      </w:r>
      <w:r>
        <w:rPr>
          <w:lang w:val="fr-FR"/>
        </w:rPr>
        <w:t>tributions de courant</w:t>
      </w:r>
    </w:p>
    <w:p w:rsidR="000E5D16" w:rsidRDefault="000E5D16" w:rsidP="00E2156B">
      <w:pPr>
        <w:ind w:firstLine="0"/>
        <w:rPr>
          <w:spacing w:val="-2"/>
        </w:rPr>
      </w:pPr>
      <w:r w:rsidRPr="001E37C3">
        <w:rPr>
          <w:spacing w:val="-2"/>
        </w:rPr>
        <w:t>Le graphique du haut de la figure 8, illustre les formes d’ondes de courant d’Anode dans le cas d’un IGBT "non vieilli", alors que, celui du bas montre les mêm</w:t>
      </w:r>
      <w:r w:rsidR="00031C16" w:rsidRPr="001E37C3">
        <w:rPr>
          <w:spacing w:val="-2"/>
        </w:rPr>
        <w:t xml:space="preserve">es formes d’ondes, pour </w:t>
      </w:r>
      <w:r w:rsidRPr="001E37C3">
        <w:rPr>
          <w:spacing w:val="-2"/>
        </w:rPr>
        <w:t xml:space="preserve">un IGBT </w:t>
      </w:r>
      <w:r w:rsidR="00031C16" w:rsidRPr="001E37C3">
        <w:rPr>
          <w:spacing w:val="-2"/>
        </w:rPr>
        <w:t xml:space="preserve">dit </w:t>
      </w:r>
      <w:r w:rsidRPr="001E37C3">
        <w:rPr>
          <w:spacing w:val="-2"/>
        </w:rPr>
        <w:t>"vieilli",</w:t>
      </w:r>
      <w:r w:rsidR="00031C16" w:rsidRPr="001E37C3">
        <w:rPr>
          <w:spacing w:val="-2"/>
        </w:rPr>
        <w:t xml:space="preserve"> dans lequel seule l</w:t>
      </w:r>
      <w:r w:rsidR="00972BC8" w:rsidRPr="001E37C3">
        <w:rPr>
          <w:spacing w:val="-2"/>
        </w:rPr>
        <w:t xml:space="preserve">a </w:t>
      </w:r>
      <w:r w:rsidR="00031C16" w:rsidRPr="001E37C3">
        <w:rPr>
          <w:spacing w:val="-2"/>
        </w:rPr>
        <w:t xml:space="preserve">couche de </w:t>
      </w:r>
      <w:r w:rsidR="00972BC8" w:rsidRPr="001E37C3">
        <w:rPr>
          <w:spacing w:val="-2"/>
        </w:rPr>
        <w:t xml:space="preserve">métallisation supérieure </w:t>
      </w:r>
      <w:r w:rsidR="00031C16" w:rsidRPr="001E37C3">
        <w:rPr>
          <w:spacing w:val="-2"/>
        </w:rPr>
        <w:t>est considérée</w:t>
      </w:r>
      <w:r w:rsidR="00972BC8" w:rsidRPr="001E37C3">
        <w:rPr>
          <w:spacing w:val="-2"/>
        </w:rPr>
        <w:t xml:space="preserve"> endommagée</w:t>
      </w:r>
      <w:r w:rsidRPr="001E37C3">
        <w:rPr>
          <w:spacing w:val="-2"/>
        </w:rPr>
        <w:t xml:space="preserve">. </w:t>
      </w:r>
      <w:r w:rsidR="00972BC8" w:rsidRPr="001E37C3">
        <w:rPr>
          <w:spacing w:val="-2"/>
        </w:rPr>
        <w:t>Les observations</w:t>
      </w:r>
      <w:r w:rsidR="00031C16" w:rsidRPr="001E37C3">
        <w:rPr>
          <w:spacing w:val="-2"/>
        </w:rPr>
        <w:t xml:space="preserve"> des résultats</w:t>
      </w:r>
      <w:r w:rsidR="00972BC8" w:rsidRPr="001E37C3">
        <w:rPr>
          <w:spacing w:val="-2"/>
        </w:rPr>
        <w:t xml:space="preserve"> révèlent</w:t>
      </w:r>
      <w:r w:rsidRPr="001E37C3">
        <w:rPr>
          <w:spacing w:val="-2"/>
        </w:rPr>
        <w:t xml:space="preserve"> que la macro-cellule la plus proche du contact de bonding voit un niveau courant de court-circuit plus élevé</w:t>
      </w:r>
      <w:r w:rsidR="00972BC8" w:rsidRPr="001E37C3">
        <w:rPr>
          <w:spacing w:val="-2"/>
        </w:rPr>
        <w:t xml:space="preserve"> comparé au courant </w:t>
      </w:r>
      <w:r w:rsidRPr="001E37C3">
        <w:rPr>
          <w:spacing w:val="-2"/>
        </w:rPr>
        <w:t>traversant les macr</w:t>
      </w:r>
      <w:r w:rsidR="00972BC8" w:rsidRPr="001E37C3">
        <w:rPr>
          <w:spacing w:val="-2"/>
        </w:rPr>
        <w:t>o-cellules les plus éloignées de ce contact</w:t>
      </w:r>
      <w:r w:rsidRPr="001E37C3">
        <w:rPr>
          <w:spacing w:val="-2"/>
        </w:rPr>
        <w:t>.</w:t>
      </w:r>
    </w:p>
    <w:p w:rsidR="001056A7" w:rsidRPr="001E37C3" w:rsidRDefault="001056A7" w:rsidP="00E2156B">
      <w:pPr>
        <w:ind w:firstLine="0"/>
        <w:rPr>
          <w:spacing w:val="-2"/>
        </w:rPr>
      </w:pPr>
      <w:r w:rsidRPr="001E37C3">
        <w:rPr>
          <w:spacing w:val="-2"/>
        </w:rPr>
        <w:t>Les résultats montrent également que le niveau de courant de court-circuit passant dans les macro-cellules diminue progressivement avec la distance par rapport à la position du contact de fil de bonding sur la métallisation. Avec le vieillissement, cet effet est amplifié, comme on peut aisément l’observer dans le graphique du bas de la figure 8.</w:t>
      </w:r>
    </w:p>
    <w:p w:rsidR="00E2156B" w:rsidRDefault="00324D2B" w:rsidP="0045138F">
      <w:pPr>
        <w:ind w:firstLine="0"/>
        <w:jc w:val="center"/>
        <w:rPr>
          <w:color w:val="000000"/>
        </w:rPr>
      </w:pPr>
      <w:r>
        <w:rPr>
          <w:noProof/>
          <w:color w:val="000000"/>
          <w:lang w:eastAsia="fr-FR"/>
        </w:rPr>
        <w:lastRenderedPageBreak/>
        <w:drawing>
          <wp:inline distT="0" distB="0" distL="0" distR="0">
            <wp:extent cx="3122017" cy="32404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46429" cy="3265742"/>
                    </a:xfrm>
                    <a:prstGeom prst="rect">
                      <a:avLst/>
                    </a:prstGeom>
                    <a:noFill/>
                  </pic:spPr>
                </pic:pic>
              </a:graphicData>
            </a:graphic>
          </wp:inline>
        </w:drawing>
      </w:r>
    </w:p>
    <w:p w:rsidR="0045138F" w:rsidRPr="001E37C3" w:rsidRDefault="00323067" w:rsidP="00E2156B">
      <w:pPr>
        <w:ind w:firstLine="0"/>
        <w:rPr>
          <w:spacing w:val="-2"/>
        </w:rPr>
      </w:pPr>
      <w:r>
        <w:rPr>
          <w:sz w:val="16"/>
          <w:szCs w:val="16"/>
        </w:rPr>
        <w:t xml:space="preserve">Fig.8 </w:t>
      </w:r>
      <w:r w:rsidR="00B4267C">
        <w:rPr>
          <w:sz w:val="16"/>
          <w:szCs w:val="16"/>
        </w:rPr>
        <w:t>Distribution de</w:t>
      </w:r>
      <w:r w:rsidR="0045138F" w:rsidRPr="0045138F">
        <w:rPr>
          <w:sz w:val="16"/>
          <w:szCs w:val="16"/>
        </w:rPr>
        <w:t xml:space="preserve"> courant d’anode             </w:t>
      </w:r>
    </w:p>
    <w:p w:rsidR="00031C16" w:rsidRPr="00031C16" w:rsidRDefault="00031C16" w:rsidP="00031C16">
      <w:pPr>
        <w:pStyle w:val="Titre2"/>
        <w:rPr>
          <w:lang w:val="fr-FR"/>
        </w:rPr>
      </w:pPr>
      <w:r w:rsidRPr="00031C16">
        <w:rPr>
          <w:lang w:val="fr-FR"/>
        </w:rPr>
        <w:t xml:space="preserve">Effets sur les distributions de </w:t>
      </w:r>
      <w:r w:rsidRPr="001E37C3">
        <w:rPr>
          <w:i w:val="0"/>
          <w:iCs w:val="0"/>
          <w:noProof w:val="0"/>
          <w:spacing w:val="-2"/>
          <w:lang w:val="fr-FR"/>
        </w:rPr>
        <w:t>température</w:t>
      </w:r>
    </w:p>
    <w:p w:rsidR="0045138F" w:rsidRPr="001E37C3" w:rsidRDefault="00E2156B" w:rsidP="00E2156B">
      <w:pPr>
        <w:ind w:firstLine="0"/>
        <w:rPr>
          <w:spacing w:val="-2"/>
        </w:rPr>
      </w:pPr>
      <w:r w:rsidRPr="001E37C3">
        <w:rPr>
          <w:spacing w:val="-2"/>
        </w:rPr>
        <w:t xml:space="preserve">Les distributions de température suivent naturellement </w:t>
      </w:r>
      <w:r w:rsidR="00766CBA" w:rsidRPr="001E37C3">
        <w:rPr>
          <w:spacing w:val="-2"/>
        </w:rPr>
        <w:t xml:space="preserve">celles </w:t>
      </w:r>
      <w:r w:rsidRPr="001E37C3">
        <w:rPr>
          <w:spacing w:val="-2"/>
        </w:rPr>
        <w:t>de</w:t>
      </w:r>
      <w:r w:rsidR="00766CBA" w:rsidRPr="001E37C3">
        <w:rPr>
          <w:spacing w:val="-2"/>
        </w:rPr>
        <w:t>s</w:t>
      </w:r>
      <w:r w:rsidRPr="001E37C3">
        <w:rPr>
          <w:spacing w:val="-2"/>
        </w:rPr>
        <w:t xml:space="preserve"> courant</w:t>
      </w:r>
      <w:r w:rsidR="00766CBA" w:rsidRPr="001E37C3">
        <w:rPr>
          <w:spacing w:val="-2"/>
        </w:rPr>
        <w:t>s</w:t>
      </w:r>
      <w:r w:rsidR="0045138F" w:rsidRPr="001E37C3">
        <w:rPr>
          <w:spacing w:val="-2"/>
        </w:rPr>
        <w:t>.</w:t>
      </w:r>
      <w:r w:rsidR="004D1138" w:rsidRPr="001E37C3">
        <w:rPr>
          <w:spacing w:val="-2"/>
        </w:rPr>
        <w:t xml:space="preserve"> Ainsi comme dans le cas des formes d’ondes de courant, les formes d’ondes de température se comportent de la même façon.</w:t>
      </w:r>
      <w:r w:rsidR="00766CBA" w:rsidRPr="001E37C3">
        <w:rPr>
          <w:spacing w:val="-2"/>
        </w:rPr>
        <w:t xml:space="preserve"> A la fin du court-circuit, on note que durant l’opération, la température s'élève de 20°C (valeur initiale) jusqu'à 180°C à 215°C suivant la distance des macro-cellules au contact de bonding. La cellule la plus proche du contact de bonding est la plus chaude et les niveaux de température diminuent avec l'éloignement de ce contact</w:t>
      </w:r>
    </w:p>
    <w:p w:rsidR="006B17A0" w:rsidRDefault="00766CBA" w:rsidP="006B17A0">
      <w:pPr>
        <w:autoSpaceDE w:val="0"/>
        <w:autoSpaceDN w:val="0"/>
        <w:adjustRightInd w:val="0"/>
        <w:rPr>
          <w:spacing w:val="-2"/>
        </w:rPr>
      </w:pPr>
      <w:r w:rsidRPr="001E37C3">
        <w:rPr>
          <w:spacing w:val="-2"/>
        </w:rPr>
        <w:t>Il est à noter que ces observations montrent que le vieillissement de la métallisation n'a pas d’effets sur la macro-cellule la plus proche du contact bonding. En effet, le niveau de courant de court-circuit est quasi identique dans les deux cas de figure (I</w:t>
      </w:r>
      <w:r w:rsidR="006B17A0" w:rsidRPr="001E37C3">
        <w:rPr>
          <w:spacing w:val="-2"/>
        </w:rPr>
        <w:t>GBT vieilli et non vieilli), alors qu'avec l'éloignement du contact, la dispersion des niveaux de courant s'agrandit.</w:t>
      </w:r>
    </w:p>
    <w:p w:rsidR="00B4267C" w:rsidRPr="001E37C3" w:rsidRDefault="00B4267C" w:rsidP="00B4267C">
      <w:pPr>
        <w:autoSpaceDE w:val="0"/>
        <w:autoSpaceDN w:val="0"/>
        <w:adjustRightInd w:val="0"/>
        <w:ind w:firstLine="0"/>
        <w:rPr>
          <w:spacing w:val="-2"/>
        </w:rPr>
      </w:pPr>
      <w:r w:rsidRPr="001E37C3">
        <w:rPr>
          <w:spacing w:val="-2"/>
        </w:rPr>
        <w:t>Le vieillissement accentue la répartition de température en augmentant le gradient de température, donc les inhomogénéités sur la puce entre la cellule la plus chaude (proche du contact) et celle la plus froide (la plus éloignée du contact), conformément aux niveaux de courant correspondants.</w:t>
      </w:r>
    </w:p>
    <w:p w:rsidR="00B4267C" w:rsidRPr="001E37C3" w:rsidRDefault="00B4267C" w:rsidP="006B17A0">
      <w:pPr>
        <w:autoSpaceDE w:val="0"/>
        <w:autoSpaceDN w:val="0"/>
        <w:adjustRightInd w:val="0"/>
        <w:rPr>
          <w:spacing w:val="-2"/>
        </w:rPr>
      </w:pPr>
    </w:p>
    <w:p w:rsidR="00E2156B" w:rsidRDefault="00324D2B" w:rsidP="0045138F">
      <w:pPr>
        <w:ind w:firstLine="0"/>
        <w:jc w:val="center"/>
        <w:rPr>
          <w:color w:val="000000"/>
        </w:rPr>
      </w:pPr>
      <w:r>
        <w:rPr>
          <w:noProof/>
          <w:color w:val="000000"/>
          <w:lang w:eastAsia="fr-FR"/>
        </w:rPr>
        <w:lastRenderedPageBreak/>
        <w:drawing>
          <wp:inline distT="0" distB="0" distL="0" distR="0">
            <wp:extent cx="3345180" cy="39935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4799"/>
                    <a:stretch/>
                  </pic:blipFill>
                  <pic:spPr bwMode="auto">
                    <a:xfrm>
                      <a:off x="0" y="0"/>
                      <a:ext cx="3345180" cy="3993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5138F" w:rsidRDefault="004D1138" w:rsidP="007278C7">
      <w:pPr>
        <w:rPr>
          <w:sz w:val="16"/>
          <w:szCs w:val="16"/>
        </w:rPr>
      </w:pPr>
      <w:r>
        <w:rPr>
          <w:sz w:val="16"/>
          <w:szCs w:val="16"/>
        </w:rPr>
        <w:t>Fig.9 D</w:t>
      </w:r>
      <w:r w:rsidR="007278C7" w:rsidRPr="0045138F">
        <w:rPr>
          <w:sz w:val="16"/>
          <w:szCs w:val="16"/>
        </w:rPr>
        <w:t xml:space="preserve">istribution de température </w:t>
      </w:r>
    </w:p>
    <w:p w:rsidR="000325A1" w:rsidRDefault="000325A1" w:rsidP="007278C7">
      <w:pPr>
        <w:rPr>
          <w:sz w:val="16"/>
          <w:szCs w:val="16"/>
        </w:rPr>
      </w:pPr>
      <w:r>
        <w:rPr>
          <w:noProof/>
          <w:sz w:val="16"/>
          <w:szCs w:val="16"/>
          <w:lang w:eastAsia="fr-FR"/>
        </w:rPr>
        <w:drawing>
          <wp:inline distT="0" distB="0" distL="0" distR="0">
            <wp:extent cx="2809875" cy="367601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158" r="18163"/>
                    <a:stretch/>
                  </pic:blipFill>
                  <pic:spPr bwMode="auto">
                    <a:xfrm>
                      <a:off x="0" y="0"/>
                      <a:ext cx="2809875" cy="36760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325A1" w:rsidRDefault="000E5D16" w:rsidP="000E5D16">
      <w:pPr>
        <w:ind w:firstLine="0"/>
        <w:rPr>
          <w:sz w:val="16"/>
          <w:szCs w:val="16"/>
        </w:rPr>
      </w:pPr>
      <w:r>
        <w:rPr>
          <w:sz w:val="16"/>
          <w:szCs w:val="16"/>
        </w:rPr>
        <w:t>Fig 10 Distribution de tension gri</w:t>
      </w:r>
      <w:r w:rsidR="00B4267C">
        <w:rPr>
          <w:sz w:val="16"/>
          <w:szCs w:val="16"/>
        </w:rPr>
        <w:t>l</w:t>
      </w:r>
      <w:r>
        <w:rPr>
          <w:sz w:val="16"/>
          <w:szCs w:val="16"/>
        </w:rPr>
        <w:t>le-source</w:t>
      </w:r>
      <w:r w:rsidR="00B4267C">
        <w:rPr>
          <w:sz w:val="16"/>
          <w:szCs w:val="16"/>
        </w:rPr>
        <w:t xml:space="preserve"> (Vgs)</w:t>
      </w:r>
    </w:p>
    <w:p w:rsidR="00B4267C" w:rsidRPr="001E37C3" w:rsidRDefault="00B4267C" w:rsidP="00B4267C">
      <w:pPr>
        <w:autoSpaceDE w:val="0"/>
        <w:autoSpaceDN w:val="0"/>
        <w:adjustRightInd w:val="0"/>
        <w:rPr>
          <w:spacing w:val="-2"/>
        </w:rPr>
      </w:pPr>
      <w:r w:rsidRPr="001E37C3">
        <w:rPr>
          <w:spacing w:val="-2"/>
        </w:rPr>
        <w:lastRenderedPageBreak/>
        <w:t>Le comportement des distributions de courant et de température est guidé par celui des distributions des tensions  de grilles appliquées et représentées sur la figure 10.</w:t>
      </w:r>
    </w:p>
    <w:p w:rsidR="00B4267C" w:rsidRPr="001E37C3" w:rsidRDefault="00A50E0A" w:rsidP="00B4267C">
      <w:pPr>
        <w:autoSpaceDE w:val="0"/>
        <w:autoSpaceDN w:val="0"/>
        <w:adjustRightInd w:val="0"/>
        <w:ind w:firstLine="0"/>
        <w:rPr>
          <w:spacing w:val="-2"/>
        </w:rPr>
      </w:pPr>
      <w:r>
        <w:rPr>
          <w:spacing w:val="-2"/>
        </w:rPr>
        <w:t xml:space="preserve">Ainsi, </w:t>
      </w:r>
      <w:r w:rsidR="00B4267C" w:rsidRPr="001E37C3">
        <w:rPr>
          <w:spacing w:val="-2"/>
        </w:rPr>
        <w:t>on observe que la macro-cellule la plus proche du contact bonding présente une tension grille-source plus proche de la tension appliquée (15 V), alors qu’avec la distance au contact de bonding, la tension grille-source diminue progressivement. Cette régression est liée à la faible dépolarisation provoquée par la résistance d'accès entre le contact du fil de bonding et la cellule considérée, lorsque celle-ci est parcourue par le courant de court-circuit correspondant.</w:t>
      </w:r>
    </w:p>
    <w:p w:rsidR="00B4267C" w:rsidRPr="001E37C3" w:rsidRDefault="00B4267C" w:rsidP="00B4267C">
      <w:pPr>
        <w:autoSpaceDE w:val="0"/>
        <w:autoSpaceDN w:val="0"/>
        <w:adjustRightInd w:val="0"/>
        <w:ind w:firstLine="0"/>
        <w:rPr>
          <w:spacing w:val="-2"/>
        </w:rPr>
      </w:pPr>
      <w:r w:rsidRPr="001E37C3">
        <w:rPr>
          <w:spacing w:val="-2"/>
        </w:rPr>
        <w:t>C</w:t>
      </w:r>
      <w:r w:rsidR="00A50E0A">
        <w:rPr>
          <w:spacing w:val="-2"/>
        </w:rPr>
        <w:t xml:space="preserve">ette distribution de résistance </w:t>
      </w:r>
      <w:r w:rsidRPr="001E37C3">
        <w:rPr>
          <w:spacing w:val="-2"/>
        </w:rPr>
        <w:t>d’accès dans le circuit de grille est responsable de la répartition de la tension grille-source (V</w:t>
      </w:r>
      <w:r w:rsidRPr="00A50E0A">
        <w:rPr>
          <w:spacing w:val="-2"/>
          <w:vertAlign w:val="subscript"/>
        </w:rPr>
        <w:t>gs</w:t>
      </w:r>
      <w:r w:rsidRPr="001E37C3">
        <w:rPr>
          <w:spacing w:val="-2"/>
        </w:rPr>
        <w:t xml:space="preserve">) dans le composant IGBT, lorsque l'IGBT est parcouru par un courant de court-circuit. La répartition de cette résistance d’accès </w:t>
      </w:r>
      <w:r w:rsidR="0036136F">
        <w:rPr>
          <w:spacing w:val="-2"/>
        </w:rPr>
        <w:t>est à l’origine</w:t>
      </w:r>
      <w:r w:rsidR="00DA6B74">
        <w:rPr>
          <w:spacing w:val="-2"/>
        </w:rPr>
        <w:t xml:space="preserve"> </w:t>
      </w:r>
      <w:r w:rsidR="0036136F">
        <w:rPr>
          <w:spacing w:val="-2"/>
        </w:rPr>
        <w:t>d</w:t>
      </w:r>
      <w:r w:rsidRPr="001E37C3">
        <w:rPr>
          <w:spacing w:val="-2"/>
        </w:rPr>
        <w:t>es distributions de courant et de température</w:t>
      </w:r>
      <w:r w:rsidR="00DA6B74">
        <w:rPr>
          <w:spacing w:val="-2"/>
        </w:rPr>
        <w:t xml:space="preserve"> </w:t>
      </w:r>
      <w:r w:rsidR="00241E70">
        <w:rPr>
          <w:spacing w:val="-2"/>
        </w:rPr>
        <w:t>observées</w:t>
      </w:r>
      <w:r w:rsidR="0036136F">
        <w:rPr>
          <w:spacing w:val="-2"/>
        </w:rPr>
        <w:t>.</w:t>
      </w:r>
    </w:p>
    <w:p w:rsidR="00B4267C" w:rsidRPr="00B4267C" w:rsidRDefault="00B4267C" w:rsidP="00B4267C">
      <w:pPr>
        <w:autoSpaceDE w:val="0"/>
        <w:autoSpaceDN w:val="0"/>
        <w:adjustRightInd w:val="0"/>
        <w:ind w:firstLine="0"/>
        <w:rPr>
          <w:spacing w:val="-2"/>
        </w:rPr>
      </w:pPr>
      <w:r w:rsidRPr="001E37C3">
        <w:rPr>
          <w:spacing w:val="-2"/>
        </w:rPr>
        <w:t>Par ailleurs, on observe que le vieillissement de la métallisation supérieure accentue les écarts entre les formes d’ondes</w:t>
      </w:r>
      <w:r w:rsidR="0036136F">
        <w:rPr>
          <w:spacing w:val="-2"/>
        </w:rPr>
        <w:t xml:space="preserve"> de courant et de température délivrées par chaque macrocellule</w:t>
      </w:r>
      <w:r w:rsidRPr="001E37C3">
        <w:rPr>
          <w:spacing w:val="-2"/>
        </w:rPr>
        <w:t xml:space="preserve">. Cela peut s’expliquer par l’augmentation de la résistance d'accès dans le circuit de </w:t>
      </w:r>
      <w:r w:rsidR="00241E70">
        <w:rPr>
          <w:spacing w:val="-2"/>
        </w:rPr>
        <w:t xml:space="preserve">grille de chaque macro-cellule, qui s’opère avec le </w:t>
      </w:r>
      <w:r w:rsidRPr="001E37C3">
        <w:rPr>
          <w:spacing w:val="-2"/>
        </w:rPr>
        <w:t>vieillissement de la couche de la métallisation supérieure.</w:t>
      </w:r>
    </w:p>
    <w:p w:rsidR="007278C7" w:rsidRDefault="007278C7" w:rsidP="007278C7">
      <w:pPr>
        <w:pStyle w:val="Titre1"/>
      </w:pPr>
      <w:r>
        <w:t>Application au phénomène de latch-up</w:t>
      </w:r>
    </w:p>
    <w:p w:rsidR="006507EE" w:rsidRPr="00FE48B5" w:rsidRDefault="002A7B11" w:rsidP="007278C7">
      <w:pPr>
        <w:ind w:firstLine="0"/>
        <w:rPr>
          <w:spacing w:val="-2"/>
        </w:rPr>
      </w:pPr>
      <w:r>
        <w:t xml:space="preserve"> D</w:t>
      </w:r>
      <w:r w:rsidR="006507EE">
        <w:t>ans la littérature [</w:t>
      </w:r>
      <w:r w:rsidR="0070617C">
        <w:t>9</w:t>
      </w:r>
      <w:r w:rsidR="006507EE">
        <w:t xml:space="preserve">, </w:t>
      </w:r>
      <w:r w:rsidR="0070617C">
        <w:t>10</w:t>
      </w:r>
      <w:r w:rsidR="006507EE">
        <w:t xml:space="preserve">], il a </w:t>
      </w:r>
      <w:r w:rsidR="006507EE" w:rsidRPr="00FE48B5">
        <w:rPr>
          <w:spacing w:val="-2"/>
        </w:rPr>
        <w:t>été démontré que lorsque les dispositifs IGBT sont soumis à des régimes répétitifs de court-circuit, un mécanisme cumulatif préjudiciable a lieu et conduit par des effets de vieillissement progressif à une destruction du composant l’IGBT. Cette défaillance a été observée expérimentalement et il ressort que celle-ci apparaît systématiquement lors de la phase de blocage de l’IGBT, pendant le dernier cycle de court-circuit sous forme d'un latch-up dynamique. Nous nous proposons par le biais de simulations numériques, d'une part, de montrer que le latch-up dynamique est susceptible d’apparaitre dans ces conditions, c’est-à-dire, précisément à l’ouverture de l’IGBT. D’autre part nous analysons l’impact du vieillissement de la couche de métallisation sur l’apparition de ce phénomène. L’objectif étant de vérifier si l’état de dégradation de la métallisation supérieure de la puce I</w:t>
      </w:r>
      <w:r>
        <w:rPr>
          <w:spacing w:val="-2"/>
        </w:rPr>
        <w:t xml:space="preserve">GBT, observé expérimentalement </w:t>
      </w:r>
      <w:r w:rsidR="006507EE" w:rsidRPr="00FE48B5">
        <w:rPr>
          <w:spacing w:val="-2"/>
        </w:rPr>
        <w:t>peut être à l’origine de la défaillance en latch-up.</w:t>
      </w:r>
    </w:p>
    <w:p w:rsidR="006507EE" w:rsidRPr="00FE48B5" w:rsidRDefault="006507EE" w:rsidP="0070617C">
      <w:pPr>
        <w:tabs>
          <w:tab w:val="left" w:pos="2394"/>
        </w:tabs>
        <w:spacing w:line="240" w:lineRule="auto"/>
        <w:rPr>
          <w:spacing w:val="-2"/>
        </w:rPr>
      </w:pPr>
      <w:r w:rsidRPr="00FE48B5">
        <w:rPr>
          <w:spacing w:val="-2"/>
        </w:rPr>
        <w:t>Pour cela, une première étape a consisté à rechercher les conditions seuils qui font apparaître le phénomène de latch-up dynamique pour le composant IGBT doté d’une métallisation non vieillie. Nous verro</w:t>
      </w:r>
      <w:r w:rsidR="002A7B11">
        <w:rPr>
          <w:spacing w:val="-2"/>
        </w:rPr>
        <w:t>ns que c'est une valeur seuil d</w:t>
      </w:r>
      <w:r w:rsidRPr="00FE48B5">
        <w:rPr>
          <w:spacing w:val="-2"/>
        </w:rPr>
        <w:t>'inductance parasite L</w:t>
      </w:r>
      <w:r w:rsidRPr="00B4267C">
        <w:rPr>
          <w:spacing w:val="-2"/>
          <w:vertAlign w:val="subscript"/>
        </w:rPr>
        <w:t>p</w:t>
      </w:r>
      <w:r w:rsidRPr="00FE48B5">
        <w:rPr>
          <w:spacing w:val="-2"/>
        </w:rPr>
        <w:t xml:space="preserve"> qui permettra d'atteindre ces conditions</w:t>
      </w:r>
      <w:r w:rsidR="00B4267C">
        <w:rPr>
          <w:spacing w:val="-2"/>
        </w:rPr>
        <w:t>. La seconde étape va consister</w:t>
      </w:r>
      <w:r w:rsidRPr="00FE48B5">
        <w:rPr>
          <w:spacing w:val="-2"/>
        </w:rPr>
        <w:t xml:space="preserve"> à simuler dans les mêmes conditions</w:t>
      </w:r>
      <w:r w:rsidR="00B4267C">
        <w:rPr>
          <w:spacing w:val="-2"/>
        </w:rPr>
        <w:t>,</w:t>
      </w:r>
      <w:r w:rsidRPr="00FE48B5">
        <w:rPr>
          <w:spacing w:val="-2"/>
        </w:rPr>
        <w:t xml:space="preserve"> l'IGBT dont la métallisation est "</w:t>
      </w:r>
      <w:r w:rsidR="00DA6B74" w:rsidRPr="00FE48B5">
        <w:rPr>
          <w:spacing w:val="-2"/>
        </w:rPr>
        <w:t>vieillie</w:t>
      </w:r>
      <w:r w:rsidRPr="00FE48B5">
        <w:rPr>
          <w:spacing w:val="-2"/>
        </w:rPr>
        <w:t>". Cela va nous permettre de voir dans quel sens le vieillissement de la métallisation va influencer le seuil d'apparition du latch-up dynamique. En d'autres mots, nous espérons voir si le vieillissement va favoriser ou au contraire empêcher l'apparition du latch-up.</w:t>
      </w:r>
    </w:p>
    <w:p w:rsidR="006507EE" w:rsidRPr="00FE48B5" w:rsidRDefault="006507EE" w:rsidP="0070617C">
      <w:pPr>
        <w:spacing w:line="240" w:lineRule="auto"/>
        <w:ind w:firstLine="0"/>
        <w:rPr>
          <w:spacing w:val="-2"/>
        </w:rPr>
      </w:pPr>
      <w:r w:rsidRPr="00FE48B5">
        <w:rPr>
          <w:spacing w:val="-2"/>
        </w:rPr>
        <w:t>La mise en situation critique d’apparition de latch-up, de l’IGBT initial s’est effectuée</w:t>
      </w:r>
      <w:r w:rsidR="002A7B11">
        <w:rPr>
          <w:spacing w:val="-2"/>
        </w:rPr>
        <w:t xml:space="preserve"> par ajustement des valeurs </w:t>
      </w:r>
      <w:r w:rsidR="002A7B11">
        <w:rPr>
          <w:spacing w:val="-2"/>
        </w:rPr>
        <w:lastRenderedPageBreak/>
        <w:t>d</w:t>
      </w:r>
      <w:r w:rsidRPr="00FE48B5">
        <w:rPr>
          <w:spacing w:val="-2"/>
        </w:rPr>
        <w:t>'inductance parasite (L</w:t>
      </w:r>
      <w:r w:rsidRPr="00B4267C">
        <w:rPr>
          <w:spacing w:val="-2"/>
          <w:vertAlign w:val="subscript"/>
        </w:rPr>
        <w:t>p</w:t>
      </w:r>
      <w:r w:rsidRPr="00FE48B5">
        <w:rPr>
          <w:spacing w:val="-2"/>
        </w:rPr>
        <w:t>) du circuit d'alimentation. E</w:t>
      </w:r>
      <w:r w:rsidR="00B4267C">
        <w:rPr>
          <w:spacing w:val="-2"/>
        </w:rPr>
        <w:t>n effet</w:t>
      </w:r>
      <w:r w:rsidRPr="00FE48B5">
        <w:rPr>
          <w:spacing w:val="-2"/>
        </w:rPr>
        <w:t xml:space="preserve">, il est </w:t>
      </w:r>
      <w:r w:rsidR="00B4267C">
        <w:rPr>
          <w:spacing w:val="-2"/>
        </w:rPr>
        <w:t>bien connu</w:t>
      </w:r>
      <w:r w:rsidRPr="00FE48B5">
        <w:rPr>
          <w:spacing w:val="-2"/>
        </w:rPr>
        <w:t xml:space="preserve"> qu’il existe une dépendance entre l’inductance parasite et la tension collecteur-émetteur en commutation. Cela a été confirmé par les ré</w:t>
      </w:r>
      <w:r w:rsidR="00B4267C">
        <w:rPr>
          <w:spacing w:val="-2"/>
        </w:rPr>
        <w:t>sultats de simulations issus de notre</w:t>
      </w:r>
      <w:r w:rsidR="00DA6B74">
        <w:rPr>
          <w:spacing w:val="-2"/>
        </w:rPr>
        <w:t xml:space="preserve"> </w:t>
      </w:r>
      <w:r w:rsidRPr="00FE48B5">
        <w:rPr>
          <w:spacing w:val="-2"/>
        </w:rPr>
        <w:t xml:space="preserve">modèle. En effet, comme illustré en figure </w:t>
      </w:r>
      <w:r w:rsidR="002A7B11">
        <w:rPr>
          <w:spacing w:val="-2"/>
        </w:rPr>
        <w:t>11</w:t>
      </w:r>
      <w:r w:rsidRPr="00FE48B5">
        <w:rPr>
          <w:spacing w:val="-2"/>
        </w:rPr>
        <w:t>, des formes d’ondes de courant total de court-circuit qui traverse</w:t>
      </w:r>
      <w:r w:rsidR="000544D0" w:rsidRPr="00FE48B5">
        <w:rPr>
          <w:spacing w:val="-2"/>
        </w:rPr>
        <w:t>nt</w:t>
      </w:r>
      <w:r w:rsidRPr="00FE48B5">
        <w:rPr>
          <w:spacing w:val="-2"/>
        </w:rPr>
        <w:t xml:space="preserve"> le dispositif ont été obtenues par simulation pour différentes valeurs d’inductance</w:t>
      </w:r>
      <w:r w:rsidR="00210BF6">
        <w:rPr>
          <w:spacing w:val="-2"/>
        </w:rPr>
        <w:t>s</w:t>
      </w:r>
      <w:r w:rsidRPr="00FE48B5">
        <w:rPr>
          <w:spacing w:val="-2"/>
        </w:rPr>
        <w:t xml:space="preserve"> parasite</w:t>
      </w:r>
      <w:r w:rsidR="00210BF6">
        <w:rPr>
          <w:spacing w:val="-2"/>
        </w:rPr>
        <w:t>s</w:t>
      </w:r>
      <w:r w:rsidRPr="00FE48B5">
        <w:rPr>
          <w:spacing w:val="-2"/>
        </w:rPr>
        <w:t xml:space="preserve"> (L</w:t>
      </w:r>
      <w:r w:rsidRPr="00B4267C">
        <w:rPr>
          <w:spacing w:val="-2"/>
          <w:vertAlign w:val="subscript"/>
        </w:rPr>
        <w:t>p</w:t>
      </w:r>
      <w:r w:rsidRPr="00FE48B5">
        <w:rPr>
          <w:spacing w:val="-2"/>
        </w:rPr>
        <w:t xml:space="preserve">). </w:t>
      </w:r>
    </w:p>
    <w:p w:rsidR="006507EE" w:rsidRDefault="00324D2B" w:rsidP="006507EE">
      <w:pPr>
        <w:ind w:firstLine="0"/>
        <w:jc w:val="center"/>
      </w:pPr>
      <w:r>
        <w:rPr>
          <w:noProof/>
          <w:lang w:eastAsia="fr-FR"/>
        </w:rPr>
        <w:drawing>
          <wp:inline distT="0" distB="0" distL="0" distR="0">
            <wp:extent cx="3130710" cy="231569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41591" cy="2323747"/>
                    </a:xfrm>
                    <a:prstGeom prst="rect">
                      <a:avLst/>
                    </a:prstGeom>
                    <a:noFill/>
                  </pic:spPr>
                </pic:pic>
              </a:graphicData>
            </a:graphic>
          </wp:inline>
        </w:drawing>
      </w:r>
    </w:p>
    <w:p w:rsidR="006507EE" w:rsidRDefault="000E5D16" w:rsidP="006507EE">
      <w:pPr>
        <w:pStyle w:val="Lgende"/>
        <w:spacing w:before="240" w:after="240" w:line="276" w:lineRule="auto"/>
        <w:jc w:val="center"/>
        <w:rPr>
          <w:lang w:val="fr-FR"/>
        </w:rPr>
      </w:pPr>
      <w:r>
        <w:rPr>
          <w:lang w:val="fr-FR"/>
        </w:rPr>
        <w:t>Fig.11</w:t>
      </w:r>
      <w:r w:rsidR="006507EE" w:rsidRPr="006507EE">
        <w:rPr>
          <w:lang w:val="fr-FR"/>
        </w:rPr>
        <w:t xml:space="preserve">  Courant du collecteur (I</w:t>
      </w:r>
      <w:r w:rsidR="006507EE" w:rsidRPr="006507EE">
        <w:rPr>
          <w:vertAlign w:val="subscript"/>
          <w:lang w:val="fr-FR"/>
        </w:rPr>
        <w:t>C</w:t>
      </w:r>
      <w:r w:rsidR="006507EE" w:rsidRPr="006507EE">
        <w:rPr>
          <w:lang w:val="fr-FR"/>
        </w:rPr>
        <w:t>) pour différentes valeurs d’inductance parasite (Lp=10 nH, 30 nH et 120 nH)</w:t>
      </w:r>
    </w:p>
    <w:p w:rsidR="00893340" w:rsidRPr="00893340" w:rsidRDefault="006507EE" w:rsidP="005C15FF">
      <w:pPr>
        <w:pStyle w:val="Lgende"/>
        <w:spacing w:before="240" w:after="240"/>
        <w:jc w:val="both"/>
        <w:rPr>
          <w:rFonts w:eastAsia="MS Mincho"/>
          <w:noProof w:val="0"/>
          <w:spacing w:val="-2"/>
          <w:sz w:val="20"/>
          <w:szCs w:val="20"/>
          <w:lang w:val="fr-FR"/>
        </w:rPr>
      </w:pPr>
      <w:r w:rsidRPr="00FE48B5">
        <w:rPr>
          <w:rFonts w:eastAsia="MS Mincho"/>
          <w:noProof w:val="0"/>
          <w:spacing w:val="-2"/>
          <w:sz w:val="20"/>
          <w:szCs w:val="20"/>
          <w:lang w:val="fr-FR"/>
        </w:rPr>
        <w:t>Ainsi, pour une valeur d’inductance parasite relativement faible (L</w:t>
      </w:r>
      <w:r w:rsidRPr="00B4267C">
        <w:rPr>
          <w:rFonts w:eastAsia="MS Mincho"/>
          <w:noProof w:val="0"/>
          <w:spacing w:val="-2"/>
          <w:sz w:val="20"/>
          <w:szCs w:val="20"/>
          <w:vertAlign w:val="subscript"/>
          <w:lang w:val="fr-FR"/>
        </w:rPr>
        <w:t>p</w:t>
      </w:r>
      <w:r w:rsidRPr="00FE48B5">
        <w:rPr>
          <w:rFonts w:eastAsia="MS Mincho"/>
          <w:noProof w:val="0"/>
          <w:spacing w:val="-2"/>
          <w:sz w:val="20"/>
          <w:szCs w:val="20"/>
          <w:lang w:val="fr-FR"/>
        </w:rPr>
        <w:t xml:space="preserve"> = 10 nH), la surtension liée à la présence de l’inductance (L</w:t>
      </w:r>
      <w:r w:rsidRPr="00B4267C">
        <w:rPr>
          <w:rFonts w:eastAsia="MS Mincho"/>
          <w:noProof w:val="0"/>
          <w:spacing w:val="-2"/>
          <w:sz w:val="20"/>
          <w:szCs w:val="20"/>
          <w:vertAlign w:val="subscript"/>
          <w:lang w:val="fr-FR"/>
        </w:rPr>
        <w:t>p</w:t>
      </w:r>
      <w:r w:rsidRPr="00FE48B5">
        <w:rPr>
          <w:rFonts w:eastAsia="MS Mincho"/>
          <w:noProof w:val="0"/>
          <w:spacing w:val="-2"/>
          <w:sz w:val="20"/>
          <w:szCs w:val="20"/>
          <w:lang w:val="fr-FR"/>
        </w:rPr>
        <w:t xml:space="preserve">) lors de la coupure du composant est relativement moins importante et ne permet pas de provoquer le déclenchement des éléments parasites internes de l’IGBT. </w:t>
      </w:r>
      <w:r w:rsidR="00893340" w:rsidRPr="00893340">
        <w:rPr>
          <w:rFonts w:eastAsia="MS Mincho"/>
          <w:noProof w:val="0"/>
          <w:spacing w:val="-2"/>
          <w:sz w:val="20"/>
          <w:szCs w:val="20"/>
          <w:lang w:val="fr-FR"/>
        </w:rPr>
        <w:t>Dans ces conditions, le régime de court-circuit est bien supporté par le composant et aucune défaillance du composant n’a été relevée (courbe rouge)</w:t>
      </w:r>
    </w:p>
    <w:p w:rsidR="005C15FF" w:rsidRDefault="006507EE" w:rsidP="005C15FF">
      <w:pPr>
        <w:pStyle w:val="Lgende"/>
        <w:spacing w:before="240" w:after="240"/>
        <w:jc w:val="both"/>
        <w:rPr>
          <w:rFonts w:eastAsia="MS Mincho"/>
          <w:noProof w:val="0"/>
          <w:spacing w:val="-2"/>
          <w:sz w:val="20"/>
          <w:szCs w:val="20"/>
          <w:lang w:val="fr-FR"/>
        </w:rPr>
      </w:pPr>
      <w:r w:rsidRPr="00FE48B5">
        <w:rPr>
          <w:rFonts w:eastAsia="MS Mincho"/>
          <w:noProof w:val="0"/>
          <w:spacing w:val="-2"/>
          <w:sz w:val="20"/>
          <w:szCs w:val="20"/>
          <w:lang w:val="fr-FR"/>
        </w:rPr>
        <w:t>D’un point de vue physique, la chute de tension latérale (V</w:t>
      </w:r>
      <w:r w:rsidRPr="00B4267C">
        <w:rPr>
          <w:rFonts w:eastAsia="MS Mincho"/>
          <w:noProof w:val="0"/>
          <w:spacing w:val="-2"/>
          <w:sz w:val="20"/>
          <w:szCs w:val="20"/>
          <w:vertAlign w:val="subscript"/>
          <w:lang w:val="fr-FR"/>
        </w:rPr>
        <w:t>lat</w:t>
      </w:r>
      <w:r w:rsidRPr="00FE48B5">
        <w:rPr>
          <w:rFonts w:eastAsia="MS Mincho"/>
          <w:noProof w:val="0"/>
          <w:spacing w:val="-2"/>
          <w:sz w:val="20"/>
          <w:szCs w:val="20"/>
          <w:lang w:val="fr-FR"/>
        </w:rPr>
        <w:t>) aux bornes de la résistance de shunt (R</w:t>
      </w:r>
      <w:r w:rsidRPr="00B4267C">
        <w:rPr>
          <w:rFonts w:eastAsia="MS Mincho"/>
          <w:noProof w:val="0"/>
          <w:spacing w:val="-2"/>
          <w:sz w:val="20"/>
          <w:szCs w:val="20"/>
          <w:vertAlign w:val="subscript"/>
          <w:lang w:val="fr-FR"/>
        </w:rPr>
        <w:t>sh</w:t>
      </w:r>
      <w:r w:rsidRPr="00FE48B5">
        <w:rPr>
          <w:rFonts w:eastAsia="MS Mincho"/>
          <w:noProof w:val="0"/>
          <w:spacing w:val="-2"/>
          <w:sz w:val="20"/>
          <w:szCs w:val="20"/>
          <w:lang w:val="fr-FR"/>
        </w:rPr>
        <w:t>) résultant de la composante de courant de trous (I</w:t>
      </w:r>
      <w:r w:rsidRPr="00B4267C">
        <w:rPr>
          <w:rFonts w:eastAsia="MS Mincho"/>
          <w:noProof w:val="0"/>
          <w:spacing w:val="-2"/>
          <w:sz w:val="20"/>
          <w:szCs w:val="20"/>
          <w:vertAlign w:val="subscript"/>
          <w:lang w:val="fr-FR"/>
        </w:rPr>
        <w:t>p</w:t>
      </w:r>
      <w:r w:rsidRPr="00FE48B5">
        <w:rPr>
          <w:rFonts w:eastAsia="MS Mincho"/>
          <w:noProof w:val="0"/>
          <w:spacing w:val="-2"/>
          <w:sz w:val="20"/>
          <w:szCs w:val="20"/>
          <w:lang w:val="fr-FR"/>
        </w:rPr>
        <w:t xml:space="preserve">) dans la </w:t>
      </w:r>
      <w:r w:rsidR="00DA6B74" w:rsidRPr="00FE48B5">
        <w:rPr>
          <w:rFonts w:eastAsia="MS Mincho"/>
          <w:noProof w:val="0"/>
          <w:spacing w:val="-2"/>
          <w:sz w:val="20"/>
          <w:szCs w:val="20"/>
          <w:lang w:val="fr-FR"/>
        </w:rPr>
        <w:t>région</w:t>
      </w:r>
      <w:r w:rsidRPr="00FE48B5">
        <w:rPr>
          <w:rFonts w:eastAsia="MS Mincho"/>
          <w:noProof w:val="0"/>
          <w:spacing w:val="-2"/>
          <w:sz w:val="20"/>
          <w:szCs w:val="20"/>
          <w:lang w:val="fr-FR"/>
        </w:rPr>
        <w:t xml:space="preserve"> P-body et en provenance du collecteur P+</w:t>
      </w:r>
      <w:r w:rsidR="00B4267C">
        <w:rPr>
          <w:rFonts w:eastAsia="MS Mincho"/>
          <w:noProof w:val="0"/>
          <w:spacing w:val="-2"/>
          <w:sz w:val="20"/>
          <w:szCs w:val="20"/>
          <w:lang w:val="fr-FR"/>
        </w:rPr>
        <w:t>,</w:t>
      </w:r>
      <w:r w:rsidRPr="00FE48B5">
        <w:rPr>
          <w:rFonts w:eastAsia="MS Mincho"/>
          <w:noProof w:val="0"/>
          <w:spacing w:val="-2"/>
          <w:sz w:val="20"/>
          <w:szCs w:val="20"/>
          <w:lang w:val="fr-FR"/>
        </w:rPr>
        <w:t xml:space="preserve"> n’est pas assez suffisante (V</w:t>
      </w:r>
      <w:r w:rsidRPr="00B4267C">
        <w:rPr>
          <w:rFonts w:eastAsia="MS Mincho"/>
          <w:noProof w:val="0"/>
          <w:spacing w:val="-2"/>
          <w:sz w:val="20"/>
          <w:szCs w:val="20"/>
          <w:vertAlign w:val="subscript"/>
          <w:lang w:val="fr-FR"/>
        </w:rPr>
        <w:t>lat</w:t>
      </w:r>
      <w:r w:rsidRPr="00FE48B5">
        <w:rPr>
          <w:rFonts w:eastAsia="MS Mincho"/>
          <w:noProof w:val="0"/>
          <w:spacing w:val="-2"/>
          <w:sz w:val="20"/>
          <w:szCs w:val="20"/>
          <w:lang w:val="fr-FR"/>
        </w:rPr>
        <w:t xml:space="preserve"> &lt; 0.6 V, inférieure au seuil de conduction de la jonction P/N). Cette chute de tension n’est donc pas </w:t>
      </w:r>
      <w:r w:rsidR="00B4267C">
        <w:rPr>
          <w:rFonts w:eastAsia="MS Mincho"/>
          <w:noProof w:val="0"/>
          <w:spacing w:val="-2"/>
          <w:sz w:val="20"/>
          <w:szCs w:val="20"/>
          <w:lang w:val="fr-FR"/>
        </w:rPr>
        <w:t>suffisante</w:t>
      </w:r>
      <w:r w:rsidRPr="00FE48B5">
        <w:rPr>
          <w:rFonts w:eastAsia="MS Mincho"/>
          <w:noProof w:val="0"/>
          <w:spacing w:val="-2"/>
          <w:sz w:val="20"/>
          <w:szCs w:val="20"/>
          <w:lang w:val="fr-FR"/>
        </w:rPr>
        <w:t xml:space="preserve"> pour polariser en direct la jonction P/N responsable du déclenchement du transistor bipolaire</w:t>
      </w:r>
      <w:r w:rsidR="00DA6B74">
        <w:rPr>
          <w:rFonts w:eastAsia="MS Mincho"/>
          <w:noProof w:val="0"/>
          <w:spacing w:val="-2"/>
          <w:sz w:val="20"/>
          <w:szCs w:val="20"/>
          <w:lang w:val="fr-FR"/>
        </w:rPr>
        <w:t xml:space="preserve"> </w:t>
      </w:r>
      <w:r w:rsidR="00B4267C" w:rsidRPr="00FE48B5">
        <w:rPr>
          <w:rFonts w:eastAsia="MS Mincho"/>
          <w:noProof w:val="0"/>
          <w:spacing w:val="-2"/>
          <w:sz w:val="20"/>
          <w:szCs w:val="20"/>
          <w:lang w:val="fr-FR"/>
        </w:rPr>
        <w:t>parasite</w:t>
      </w:r>
      <w:r w:rsidRPr="00FE48B5">
        <w:rPr>
          <w:rFonts w:eastAsia="MS Mincho"/>
          <w:noProof w:val="0"/>
          <w:spacing w:val="-2"/>
          <w:sz w:val="20"/>
          <w:szCs w:val="20"/>
          <w:lang w:val="fr-FR"/>
        </w:rPr>
        <w:t xml:space="preserve"> NPN de l’IGBT. </w:t>
      </w:r>
    </w:p>
    <w:p w:rsidR="005C15FF" w:rsidRPr="005C15FF" w:rsidRDefault="005C15FF" w:rsidP="005C15FF">
      <w:pPr>
        <w:ind w:firstLine="0"/>
      </w:pPr>
      <w:r>
        <w:t xml:space="preserve">Ainsi, </w:t>
      </w:r>
      <w:r>
        <w:rPr>
          <w:spacing w:val="-2"/>
        </w:rPr>
        <w:t>l</w:t>
      </w:r>
      <w:r w:rsidRPr="00FE48B5">
        <w:rPr>
          <w:spacing w:val="-2"/>
        </w:rPr>
        <w:t xml:space="preserve">es résultats de simulation </w:t>
      </w:r>
      <w:r>
        <w:rPr>
          <w:spacing w:val="-2"/>
        </w:rPr>
        <w:t>montrent</w:t>
      </w:r>
      <w:r w:rsidRPr="00FE48B5">
        <w:rPr>
          <w:spacing w:val="-2"/>
        </w:rPr>
        <w:t xml:space="preserve"> qu’il n’y a pas d’apparition du phénomène de latch-up pour des valeurs d’inductances parasites relativement faibles</w:t>
      </w:r>
      <w:r>
        <w:rPr>
          <w:spacing w:val="-2"/>
        </w:rPr>
        <w:t xml:space="preserve">. Cependant, </w:t>
      </w:r>
      <w:r w:rsidRPr="00FE48B5">
        <w:rPr>
          <w:spacing w:val="-2"/>
        </w:rPr>
        <w:t>celui-ci se produit pour des valeurs d’inductance parasite plus importantes. C’est notamment le cas pour le</w:t>
      </w:r>
      <w:r>
        <w:rPr>
          <w:spacing w:val="-2"/>
        </w:rPr>
        <w:t>s valeurs d’inductance parasite</w:t>
      </w:r>
      <w:r w:rsidRPr="00FE48B5">
        <w:rPr>
          <w:spacing w:val="-2"/>
        </w:rPr>
        <w:t xml:space="preserve"> supérieures ou égales à 30 nH (L</w:t>
      </w:r>
      <w:r w:rsidRPr="005C15FF">
        <w:rPr>
          <w:spacing w:val="-2"/>
          <w:vertAlign w:val="subscript"/>
        </w:rPr>
        <w:t>p</w:t>
      </w:r>
      <w:r w:rsidRPr="00FE48B5">
        <w:rPr>
          <w:spacing w:val="-2"/>
        </w:rPr>
        <w:t> = 30 nH) c</w:t>
      </w:r>
      <w:r>
        <w:rPr>
          <w:spacing w:val="-2"/>
        </w:rPr>
        <w:t>omme illustré en figure 11. L’apparition de ce phénomène  s’accompagne de la destruction du composant</w:t>
      </w:r>
      <w:r w:rsidRPr="00FE48B5">
        <w:rPr>
          <w:spacing w:val="-2"/>
        </w:rPr>
        <w:t xml:space="preserve"> de puissance en commutation par latch-up du courant total de co</w:t>
      </w:r>
      <w:r>
        <w:rPr>
          <w:spacing w:val="-2"/>
        </w:rPr>
        <w:t xml:space="preserve">urt-circuit pendant l’ouverture, confirmant les observations expérimentales </w:t>
      </w:r>
    </w:p>
    <w:p w:rsidR="006507EE" w:rsidRDefault="006507EE" w:rsidP="000544D0">
      <w:pPr>
        <w:pStyle w:val="Lgende"/>
        <w:spacing w:before="240" w:after="240"/>
        <w:jc w:val="both"/>
        <w:rPr>
          <w:sz w:val="20"/>
          <w:szCs w:val="20"/>
          <w:lang w:val="fr-FR"/>
        </w:rPr>
      </w:pPr>
      <w:r w:rsidRPr="00FE48B5">
        <w:rPr>
          <w:rFonts w:eastAsia="MS Mincho"/>
          <w:noProof w:val="0"/>
          <w:spacing w:val="-2"/>
          <w:sz w:val="20"/>
          <w:szCs w:val="20"/>
          <w:lang w:val="fr-FR"/>
        </w:rPr>
        <w:lastRenderedPageBreak/>
        <w:t>Ces résultats montrent que pendant la coupure, les évolutions des formes d’ondes de courant de collecteur (I</w:t>
      </w:r>
      <w:r w:rsidRPr="00B4267C">
        <w:rPr>
          <w:rFonts w:eastAsia="MS Mincho"/>
          <w:noProof w:val="0"/>
          <w:spacing w:val="-2"/>
          <w:sz w:val="20"/>
          <w:szCs w:val="20"/>
          <w:vertAlign w:val="subscript"/>
          <w:lang w:val="fr-FR"/>
        </w:rPr>
        <w:t>C</w:t>
      </w:r>
      <w:r w:rsidRPr="00FE48B5">
        <w:rPr>
          <w:rFonts w:eastAsia="MS Mincho"/>
          <w:noProof w:val="0"/>
          <w:spacing w:val="-2"/>
          <w:sz w:val="20"/>
          <w:szCs w:val="20"/>
          <w:lang w:val="fr-FR"/>
        </w:rPr>
        <w:t>) et de courant de canal (I</w:t>
      </w:r>
      <w:r w:rsidRPr="00B4267C">
        <w:rPr>
          <w:rFonts w:eastAsia="MS Mincho"/>
          <w:noProof w:val="0"/>
          <w:spacing w:val="-2"/>
          <w:sz w:val="20"/>
          <w:szCs w:val="20"/>
          <w:vertAlign w:val="subscript"/>
          <w:lang w:val="fr-FR"/>
        </w:rPr>
        <w:t>MOS</w:t>
      </w:r>
      <w:r w:rsidRPr="00FE48B5">
        <w:rPr>
          <w:rFonts w:eastAsia="MS Mincho"/>
          <w:noProof w:val="0"/>
          <w:spacing w:val="-2"/>
          <w:sz w:val="20"/>
          <w:szCs w:val="20"/>
          <w:lang w:val="fr-FR"/>
        </w:rPr>
        <w:t>) ont des dynamiques légère</w:t>
      </w:r>
      <w:r w:rsidR="000544D0" w:rsidRPr="00FE48B5">
        <w:rPr>
          <w:rFonts w:eastAsia="MS Mincho"/>
          <w:noProof w:val="0"/>
          <w:spacing w:val="-2"/>
          <w:sz w:val="20"/>
          <w:szCs w:val="20"/>
          <w:lang w:val="fr-FR"/>
        </w:rPr>
        <w:t xml:space="preserve">ment différentes en </w:t>
      </w:r>
      <w:r w:rsidR="005C15FF">
        <w:rPr>
          <w:rFonts w:eastAsia="MS Mincho"/>
          <w:noProof w:val="0"/>
          <w:spacing w:val="-2"/>
          <w:sz w:val="20"/>
          <w:szCs w:val="20"/>
          <w:lang w:val="fr-FR"/>
        </w:rPr>
        <w:t>en commutation d’ouverture</w:t>
      </w:r>
      <w:r w:rsidRPr="00FE48B5">
        <w:rPr>
          <w:rFonts w:eastAsia="MS Mincho"/>
          <w:noProof w:val="0"/>
          <w:spacing w:val="-2"/>
          <w:sz w:val="20"/>
          <w:szCs w:val="20"/>
          <w:lang w:val="fr-FR"/>
        </w:rPr>
        <w:t>. En effet, en transitoire, le courant d'électrons (I</w:t>
      </w:r>
      <w:r w:rsidRPr="00B4267C">
        <w:rPr>
          <w:rFonts w:eastAsia="MS Mincho"/>
          <w:noProof w:val="0"/>
          <w:spacing w:val="-2"/>
          <w:sz w:val="20"/>
          <w:szCs w:val="20"/>
          <w:vertAlign w:val="subscript"/>
          <w:lang w:val="fr-FR"/>
        </w:rPr>
        <w:t>MOS</w:t>
      </w:r>
      <w:r w:rsidRPr="00FE48B5">
        <w:rPr>
          <w:rFonts w:eastAsia="MS Mincho"/>
          <w:noProof w:val="0"/>
          <w:spacing w:val="-2"/>
          <w:sz w:val="20"/>
          <w:szCs w:val="20"/>
          <w:lang w:val="fr-FR"/>
        </w:rPr>
        <w:t xml:space="preserve">) commute plus rapidement que le courant </w:t>
      </w:r>
      <w:r w:rsidR="00B4267C">
        <w:rPr>
          <w:rFonts w:eastAsia="MS Mincho"/>
          <w:noProof w:val="0"/>
          <w:spacing w:val="-2"/>
          <w:sz w:val="20"/>
          <w:szCs w:val="20"/>
          <w:lang w:val="fr-FR"/>
        </w:rPr>
        <w:t xml:space="preserve">de collecteur et par conséquent, </w:t>
      </w:r>
      <w:r w:rsidRPr="00FE48B5">
        <w:rPr>
          <w:rFonts w:eastAsia="MS Mincho"/>
          <w:noProof w:val="0"/>
          <w:spacing w:val="-2"/>
          <w:sz w:val="20"/>
          <w:szCs w:val="20"/>
          <w:lang w:val="fr-FR"/>
        </w:rPr>
        <w:t>un apport supplémentaire de courant de trous (I</w:t>
      </w:r>
      <w:r w:rsidRPr="00B4267C">
        <w:rPr>
          <w:rFonts w:eastAsia="MS Mincho"/>
          <w:noProof w:val="0"/>
          <w:spacing w:val="-2"/>
          <w:sz w:val="20"/>
          <w:szCs w:val="20"/>
          <w:vertAlign w:val="subscript"/>
          <w:lang w:val="fr-FR"/>
        </w:rPr>
        <w:t>p</w:t>
      </w:r>
      <w:r w:rsidRPr="00FE48B5">
        <w:rPr>
          <w:rFonts w:eastAsia="MS Mincho"/>
          <w:noProof w:val="0"/>
          <w:spacing w:val="-2"/>
          <w:sz w:val="20"/>
          <w:szCs w:val="20"/>
          <w:lang w:val="fr-FR"/>
        </w:rPr>
        <w:t>) en provenance du collecteur P+ ou généré dans la zone de charge d'espace</w:t>
      </w:r>
      <w:r w:rsidR="00B4267C">
        <w:rPr>
          <w:rFonts w:eastAsia="MS Mincho"/>
          <w:noProof w:val="0"/>
          <w:spacing w:val="-2"/>
          <w:sz w:val="20"/>
          <w:szCs w:val="20"/>
          <w:lang w:val="fr-FR"/>
        </w:rPr>
        <w:t>,</w:t>
      </w:r>
      <w:r w:rsidRPr="00FE48B5">
        <w:rPr>
          <w:rFonts w:eastAsia="MS Mincho"/>
          <w:noProof w:val="0"/>
          <w:spacing w:val="-2"/>
          <w:sz w:val="20"/>
          <w:szCs w:val="20"/>
          <w:lang w:val="fr-FR"/>
        </w:rPr>
        <w:t xml:space="preserve"> peut apparaître pour compenser la composante du courant d'électrons (I</w:t>
      </w:r>
      <w:r w:rsidRPr="00B4267C">
        <w:rPr>
          <w:rFonts w:eastAsia="MS Mincho"/>
          <w:noProof w:val="0"/>
          <w:spacing w:val="-2"/>
          <w:sz w:val="20"/>
          <w:szCs w:val="20"/>
          <w:vertAlign w:val="subscript"/>
          <w:lang w:val="fr-FR"/>
        </w:rPr>
        <w:t>MOS</w:t>
      </w:r>
      <w:r w:rsidR="00B4267C">
        <w:rPr>
          <w:rFonts w:eastAsia="MS Mincho"/>
          <w:noProof w:val="0"/>
          <w:spacing w:val="-2"/>
          <w:sz w:val="20"/>
          <w:szCs w:val="20"/>
          <w:lang w:val="fr-FR"/>
        </w:rPr>
        <w:t>) comme le montre la figure 12, et</w:t>
      </w:r>
      <w:r w:rsidRPr="00FE48B5">
        <w:rPr>
          <w:rFonts w:eastAsia="MS Mincho"/>
          <w:noProof w:val="0"/>
          <w:spacing w:val="-2"/>
          <w:sz w:val="20"/>
          <w:szCs w:val="20"/>
          <w:lang w:val="fr-FR"/>
        </w:rPr>
        <w:t xml:space="preserve"> en accord avec [</w:t>
      </w:r>
      <w:r w:rsidR="0070617C" w:rsidRPr="00FE48B5">
        <w:rPr>
          <w:rFonts w:eastAsia="MS Mincho"/>
          <w:noProof w:val="0"/>
          <w:spacing w:val="-2"/>
          <w:sz w:val="20"/>
          <w:szCs w:val="20"/>
          <w:lang w:val="fr-FR"/>
        </w:rPr>
        <w:t>11</w:t>
      </w:r>
      <w:r w:rsidRPr="00FE48B5">
        <w:rPr>
          <w:rFonts w:eastAsia="MS Mincho"/>
          <w:noProof w:val="0"/>
          <w:spacing w:val="-2"/>
          <w:sz w:val="20"/>
          <w:szCs w:val="20"/>
          <w:lang w:val="fr-FR"/>
        </w:rPr>
        <w:t>]. La conséquence est un accroissement du transit latéral de ces trous dans la région de drift (P-body)</w:t>
      </w:r>
      <w:r w:rsidR="00B4267C">
        <w:rPr>
          <w:rFonts w:eastAsia="MS Mincho"/>
          <w:noProof w:val="0"/>
          <w:spacing w:val="-2"/>
          <w:sz w:val="20"/>
          <w:szCs w:val="20"/>
          <w:lang w:val="fr-FR"/>
        </w:rPr>
        <w:t>,</w:t>
      </w:r>
      <w:r w:rsidRPr="00FE48B5">
        <w:rPr>
          <w:rFonts w:eastAsia="MS Mincho"/>
          <w:noProof w:val="0"/>
          <w:spacing w:val="-2"/>
          <w:sz w:val="20"/>
          <w:szCs w:val="20"/>
          <w:lang w:val="fr-FR"/>
        </w:rPr>
        <w:t xml:space="preserve"> responsable de la chute de tension latérale aux bornes de la résistance ohmique (R</w:t>
      </w:r>
      <w:r w:rsidRPr="00B4267C">
        <w:rPr>
          <w:rFonts w:eastAsia="MS Mincho"/>
          <w:noProof w:val="0"/>
          <w:spacing w:val="-2"/>
          <w:sz w:val="20"/>
          <w:szCs w:val="20"/>
          <w:vertAlign w:val="subscript"/>
          <w:lang w:val="fr-FR"/>
        </w:rPr>
        <w:t>sh</w:t>
      </w:r>
      <w:r w:rsidRPr="00FE48B5">
        <w:rPr>
          <w:rFonts w:eastAsia="MS Mincho"/>
          <w:noProof w:val="0"/>
          <w:spacing w:val="-2"/>
          <w:sz w:val="20"/>
          <w:szCs w:val="20"/>
          <w:lang w:val="fr-FR"/>
        </w:rPr>
        <w:t>) de cette région. Cette situation est susceptible d</w:t>
      </w:r>
      <w:r w:rsidR="00B4267C">
        <w:rPr>
          <w:rFonts w:eastAsia="MS Mincho"/>
          <w:noProof w:val="0"/>
          <w:spacing w:val="-2"/>
          <w:sz w:val="20"/>
          <w:szCs w:val="20"/>
          <w:lang w:val="fr-FR"/>
        </w:rPr>
        <w:t xml:space="preserve">e polariser la jonction (N / P) </w:t>
      </w:r>
      <w:r w:rsidRPr="00FE48B5">
        <w:rPr>
          <w:rFonts w:eastAsia="MS Mincho"/>
          <w:noProof w:val="0"/>
          <w:spacing w:val="-2"/>
          <w:sz w:val="20"/>
          <w:szCs w:val="20"/>
          <w:lang w:val="fr-FR"/>
        </w:rPr>
        <w:t>si ce flux de trous devient important</w:t>
      </w:r>
      <w:r w:rsidR="000544D0" w:rsidRPr="00FE48B5">
        <w:rPr>
          <w:rFonts w:eastAsia="MS Mincho"/>
          <w:noProof w:val="0"/>
          <w:spacing w:val="-2"/>
          <w:sz w:val="20"/>
          <w:szCs w:val="20"/>
          <w:lang w:val="fr-FR"/>
        </w:rPr>
        <w:t>.</w:t>
      </w:r>
    </w:p>
    <w:p w:rsidR="00324D2B" w:rsidRDefault="00324D2B" w:rsidP="00324D2B">
      <w:r>
        <w:rPr>
          <w:noProof/>
          <w:lang w:eastAsia="fr-FR"/>
        </w:rPr>
        <w:drawing>
          <wp:inline distT="0" distB="0" distL="0" distR="0">
            <wp:extent cx="3095625" cy="261498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09636" cy="2626821"/>
                    </a:xfrm>
                    <a:prstGeom prst="rect">
                      <a:avLst/>
                    </a:prstGeom>
                    <a:noFill/>
                  </pic:spPr>
                </pic:pic>
              </a:graphicData>
            </a:graphic>
          </wp:inline>
        </w:drawing>
      </w:r>
    </w:p>
    <w:p w:rsidR="000325A1" w:rsidRPr="00FD546C" w:rsidRDefault="00FD546C" w:rsidP="008D1344">
      <w:pPr>
        <w:jc w:val="center"/>
        <w:rPr>
          <w:sz w:val="16"/>
          <w:szCs w:val="16"/>
        </w:rPr>
      </w:pPr>
      <w:r>
        <w:rPr>
          <w:sz w:val="16"/>
          <w:szCs w:val="16"/>
        </w:rPr>
        <w:t>Fig 12</w:t>
      </w:r>
      <w:r w:rsidRPr="00FD546C">
        <w:rPr>
          <w:sz w:val="16"/>
          <w:szCs w:val="16"/>
        </w:rPr>
        <w:t xml:space="preserve"> Courant de trous I</w:t>
      </w:r>
      <w:r w:rsidRPr="00FD546C">
        <w:rPr>
          <w:sz w:val="16"/>
          <w:szCs w:val="16"/>
          <w:vertAlign w:val="subscript"/>
        </w:rPr>
        <w:t>p</w:t>
      </w:r>
      <w:r w:rsidRPr="00FD546C">
        <w:rPr>
          <w:sz w:val="16"/>
          <w:szCs w:val="16"/>
        </w:rPr>
        <w:t xml:space="preserve"> pour différentes valeurs d’inductance parasite (L</w:t>
      </w:r>
      <w:r w:rsidRPr="00FD546C">
        <w:rPr>
          <w:sz w:val="16"/>
          <w:szCs w:val="16"/>
          <w:vertAlign w:val="subscript"/>
        </w:rPr>
        <w:t>p</w:t>
      </w:r>
      <w:r w:rsidRPr="00FD546C">
        <w:rPr>
          <w:sz w:val="16"/>
          <w:szCs w:val="16"/>
        </w:rPr>
        <w:t>=10 nH, 30 nH, et 120 nH)</w:t>
      </w:r>
    </w:p>
    <w:p w:rsidR="000325A1" w:rsidRDefault="000325A1" w:rsidP="006507EE">
      <w:pPr>
        <w:tabs>
          <w:tab w:val="left" w:pos="2394"/>
        </w:tabs>
      </w:pPr>
      <w:r>
        <w:rPr>
          <w:noProof/>
          <w:lang w:eastAsia="fr-FR"/>
        </w:rPr>
        <w:drawing>
          <wp:inline distT="0" distB="0" distL="0" distR="0">
            <wp:extent cx="3164336" cy="237109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83633" cy="2385549"/>
                    </a:xfrm>
                    <a:prstGeom prst="rect">
                      <a:avLst/>
                    </a:prstGeom>
                    <a:noFill/>
                  </pic:spPr>
                </pic:pic>
              </a:graphicData>
            </a:graphic>
          </wp:inline>
        </w:drawing>
      </w:r>
    </w:p>
    <w:p w:rsidR="00CF26A0" w:rsidRPr="001E37C3" w:rsidRDefault="000E5D16" w:rsidP="001E37C3">
      <w:pPr>
        <w:tabs>
          <w:tab w:val="left" w:pos="2394"/>
        </w:tabs>
        <w:jc w:val="center"/>
      </w:pPr>
      <w:r>
        <w:rPr>
          <w:sz w:val="16"/>
          <w:szCs w:val="16"/>
        </w:rPr>
        <w:t>Fig 13</w:t>
      </w:r>
      <w:r w:rsidR="00CF26A0" w:rsidRPr="00CF26A0">
        <w:rPr>
          <w:sz w:val="16"/>
          <w:szCs w:val="16"/>
        </w:rPr>
        <w:t xml:space="preserve">  Destruction du composant par latch-up de toutes les macro-cellules de l’IGBT</w:t>
      </w:r>
    </w:p>
    <w:p w:rsidR="000325A1" w:rsidRDefault="007278C7" w:rsidP="001E37C3">
      <w:pPr>
        <w:tabs>
          <w:tab w:val="left" w:pos="2394"/>
        </w:tabs>
      </w:pPr>
      <w:r w:rsidRPr="00FE48B5">
        <w:rPr>
          <w:spacing w:val="-2"/>
        </w:rPr>
        <w:t xml:space="preserve">Il </w:t>
      </w:r>
      <w:r w:rsidR="005C15FF">
        <w:rPr>
          <w:spacing w:val="-2"/>
        </w:rPr>
        <w:t>faut</w:t>
      </w:r>
      <w:r w:rsidRPr="00FE48B5">
        <w:rPr>
          <w:spacing w:val="-2"/>
        </w:rPr>
        <w:t xml:space="preserve"> noter que le latch-up touche toutes les macro-cellules du composant IGBT</w:t>
      </w:r>
      <w:r w:rsidR="005C15FF">
        <w:rPr>
          <w:spacing w:val="-2"/>
        </w:rPr>
        <w:t xml:space="preserve"> muni</w:t>
      </w:r>
      <w:r w:rsidRPr="00FE48B5">
        <w:rPr>
          <w:spacing w:val="-2"/>
        </w:rPr>
        <w:t xml:space="preserve"> d’une métallisation non vieillie </w:t>
      </w:r>
      <w:r w:rsidR="005C15FF">
        <w:rPr>
          <w:spacing w:val="-2"/>
        </w:rPr>
        <w:t>avec</w:t>
      </w:r>
      <w:r w:rsidR="00DA6B74">
        <w:rPr>
          <w:spacing w:val="-2"/>
        </w:rPr>
        <w:t xml:space="preserve"> </w:t>
      </w:r>
      <w:r w:rsidRPr="00FE48B5">
        <w:rPr>
          <w:spacing w:val="-2"/>
        </w:rPr>
        <w:lastRenderedPageBreak/>
        <w:t>des valeurs d’inductances parasites supérieures ou égales à 30</w:t>
      </w:r>
      <w:r w:rsidR="005C15FF">
        <w:rPr>
          <w:spacing w:val="-2"/>
        </w:rPr>
        <w:t> nH, comme l’illustre la figure 13. En effet,</w:t>
      </w:r>
      <w:r w:rsidRPr="00FE48B5">
        <w:rPr>
          <w:spacing w:val="-2"/>
        </w:rPr>
        <w:t xml:space="preserve"> on observe que toutes</w:t>
      </w:r>
      <w:r>
        <w:t xml:space="preserve"> les macro-cellules du dispositif sont détruites par latch-up pend</w:t>
      </w:r>
      <w:r w:rsidR="005C15FF">
        <w:t xml:space="preserve">ant la coupure du court-circuit figure 14. </w:t>
      </w:r>
    </w:p>
    <w:p w:rsidR="000325A1" w:rsidRDefault="000325A1" w:rsidP="007278C7">
      <w:pPr>
        <w:tabs>
          <w:tab w:val="left" w:pos="2394"/>
        </w:tabs>
        <w:rPr>
          <w:rFonts w:eastAsiaTheme="minorEastAsia"/>
          <w:spacing w:val="0"/>
          <w:lang w:eastAsia="fr-FR"/>
        </w:rPr>
      </w:pPr>
      <w:r>
        <w:rPr>
          <w:rFonts w:eastAsiaTheme="minorEastAsia"/>
          <w:noProof/>
          <w:spacing w:val="0"/>
          <w:lang w:eastAsia="fr-FR"/>
        </w:rPr>
        <w:drawing>
          <wp:inline distT="0" distB="0" distL="0" distR="0">
            <wp:extent cx="2971200" cy="249538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86991" cy="2508645"/>
                    </a:xfrm>
                    <a:prstGeom prst="rect">
                      <a:avLst/>
                    </a:prstGeom>
                    <a:noFill/>
                  </pic:spPr>
                </pic:pic>
              </a:graphicData>
            </a:graphic>
          </wp:inline>
        </w:drawing>
      </w:r>
    </w:p>
    <w:p w:rsidR="000E5D16" w:rsidRPr="00FD546C" w:rsidRDefault="000E5D16" w:rsidP="00FD546C">
      <w:pPr>
        <w:pStyle w:val="Lgende"/>
        <w:spacing w:line="276" w:lineRule="auto"/>
        <w:jc w:val="center"/>
        <w:rPr>
          <w:rFonts w:eastAsiaTheme="minorEastAsia"/>
          <w:lang w:val="fr-FR" w:eastAsia="fr-FR"/>
        </w:rPr>
      </w:pPr>
      <w:r w:rsidRPr="00FD546C">
        <w:rPr>
          <w:rFonts w:eastAsiaTheme="minorEastAsia"/>
          <w:lang w:val="fr-FR" w:eastAsia="fr-FR"/>
        </w:rPr>
        <w:t>Fig 14</w:t>
      </w:r>
      <w:r w:rsidR="00FD546C" w:rsidRPr="00FD546C">
        <w:rPr>
          <w:lang w:val="fr-FR"/>
        </w:rPr>
        <w:t>Destruction de l’IGBT non vieilli (L</w:t>
      </w:r>
      <w:r w:rsidR="00FD546C" w:rsidRPr="00FD546C">
        <w:rPr>
          <w:vertAlign w:val="subscript"/>
          <w:lang w:val="fr-FR"/>
        </w:rPr>
        <w:t>p</w:t>
      </w:r>
      <w:r w:rsidR="00FD546C" w:rsidRPr="00FD546C">
        <w:rPr>
          <w:lang w:val="fr-FR"/>
        </w:rPr>
        <w:t xml:space="preserve"> = 30nH)</w:t>
      </w:r>
    </w:p>
    <w:p w:rsidR="001362BF" w:rsidRPr="00FE48B5" w:rsidRDefault="00FD546C" w:rsidP="00893340">
      <w:pPr>
        <w:tabs>
          <w:tab w:val="left" w:pos="2394"/>
        </w:tabs>
        <w:rPr>
          <w:spacing w:val="-2"/>
        </w:rPr>
      </w:pPr>
      <w:r>
        <w:rPr>
          <w:spacing w:val="-2"/>
        </w:rPr>
        <w:t>C</w:t>
      </w:r>
      <w:r w:rsidR="007278C7" w:rsidRPr="00FE48B5">
        <w:rPr>
          <w:spacing w:val="-2"/>
        </w:rPr>
        <w:t>es résultats de simulations confirment les observations expérimentales réalisées dans [</w:t>
      </w:r>
      <w:r w:rsidR="004D1138" w:rsidRPr="00FE48B5">
        <w:rPr>
          <w:spacing w:val="-2"/>
        </w:rPr>
        <w:t>9</w:t>
      </w:r>
      <w:r w:rsidR="007278C7" w:rsidRPr="00FE48B5">
        <w:rPr>
          <w:spacing w:val="-2"/>
        </w:rPr>
        <w:t xml:space="preserve">, </w:t>
      </w:r>
      <w:r w:rsidR="004D1138" w:rsidRPr="00FE48B5">
        <w:rPr>
          <w:spacing w:val="-2"/>
        </w:rPr>
        <w:t>10</w:t>
      </w:r>
      <w:r w:rsidR="007278C7" w:rsidRPr="00FE48B5">
        <w:rPr>
          <w:spacing w:val="-2"/>
        </w:rPr>
        <w:t>]. Et à notre connaissance, c’est la première fois que ces observations expérimentales sont confirmées numériquement</w:t>
      </w:r>
    </w:p>
    <w:p w:rsidR="006507EE" w:rsidRPr="00FE48B5" w:rsidRDefault="00FD546C" w:rsidP="00BF408C">
      <w:pPr>
        <w:ind w:firstLine="0"/>
        <w:rPr>
          <w:spacing w:val="-2"/>
        </w:rPr>
      </w:pPr>
      <w:r>
        <w:rPr>
          <w:spacing w:val="-2"/>
        </w:rPr>
        <w:t>L</w:t>
      </w:r>
      <w:r w:rsidR="00CF26A0" w:rsidRPr="00FE48B5">
        <w:rPr>
          <w:spacing w:val="-2"/>
        </w:rPr>
        <w:t>es résultats de simulation nous ont amenés à envisager l’existence d’une valeur intermédiaire (seuil) d’inductance parasite comprise entre (L</w:t>
      </w:r>
      <w:r w:rsidR="00CF26A0" w:rsidRPr="00893340">
        <w:rPr>
          <w:spacing w:val="-2"/>
          <w:vertAlign w:val="subscript"/>
        </w:rPr>
        <w:t>p</w:t>
      </w:r>
      <w:r w:rsidR="00CF26A0" w:rsidRPr="00FE48B5">
        <w:rPr>
          <w:spacing w:val="-2"/>
        </w:rPr>
        <w:t> = 10 nH et L</w:t>
      </w:r>
      <w:r w:rsidR="00CF26A0" w:rsidRPr="00893340">
        <w:rPr>
          <w:spacing w:val="-2"/>
          <w:vertAlign w:val="subscript"/>
        </w:rPr>
        <w:t>p</w:t>
      </w:r>
      <w:r w:rsidR="00CF26A0" w:rsidRPr="00FE48B5">
        <w:rPr>
          <w:spacing w:val="-2"/>
        </w:rPr>
        <w:t> = 30 nH) pour laquelle certaines macro-cellules du composant seraient touchées par le latch-up et d’autres non. En effet, L</w:t>
      </w:r>
      <w:r w:rsidR="00CF26A0" w:rsidRPr="00893340">
        <w:rPr>
          <w:spacing w:val="-2"/>
          <w:vertAlign w:val="subscript"/>
        </w:rPr>
        <w:t>p</w:t>
      </w:r>
      <w:r w:rsidR="00CF26A0" w:rsidRPr="00FE48B5">
        <w:rPr>
          <w:spacing w:val="-2"/>
        </w:rPr>
        <w:t>= 10 n H représente la valeur d’inductance parasite pour laquelle aucune macro-cellule du composant n’est touchée par le phénomène de latch-up, alors que la valeur L</w:t>
      </w:r>
      <w:r w:rsidR="00CF26A0" w:rsidRPr="00893340">
        <w:rPr>
          <w:spacing w:val="-2"/>
          <w:vertAlign w:val="subscript"/>
        </w:rPr>
        <w:t>p </w:t>
      </w:r>
      <w:r w:rsidR="00CF26A0" w:rsidRPr="00FE48B5">
        <w:rPr>
          <w:spacing w:val="-2"/>
        </w:rPr>
        <w:t>= 30 nH est celle qui correspond au latch-up de toutes les macro-cellules. Donc, il devrait être possible de trouver une valeur intermédiaire de L</w:t>
      </w:r>
      <w:r w:rsidR="00CF26A0" w:rsidRPr="00893340">
        <w:rPr>
          <w:spacing w:val="-2"/>
          <w:vertAlign w:val="subscript"/>
        </w:rPr>
        <w:t>p</w:t>
      </w:r>
      <w:r w:rsidR="00CF26A0" w:rsidRPr="00FE48B5">
        <w:rPr>
          <w:spacing w:val="-2"/>
        </w:rPr>
        <w:t xml:space="preserve">, qui place le composant non vieilli dans des conditions critiques (seuils) d’apparition de latch-up dans laquelle les macro-cellules du composant ne se comportent pas toutes de la même manière lors de la </w:t>
      </w:r>
      <w:r w:rsidR="00893340">
        <w:rPr>
          <w:spacing w:val="-2"/>
        </w:rPr>
        <w:t xml:space="preserve">phase de blocage du composant. Dans ces conditions critiques, </w:t>
      </w:r>
      <w:r w:rsidR="00CF26A0" w:rsidRPr="00FE48B5">
        <w:rPr>
          <w:spacing w:val="-2"/>
        </w:rPr>
        <w:t>certaines d'entre elles peuvent présenter le phénomène de latch-up et d'autres pas.</w:t>
      </w:r>
    </w:p>
    <w:p w:rsidR="00CF26A0" w:rsidRDefault="00CF26A0" w:rsidP="00CF26A0">
      <w:pPr>
        <w:tabs>
          <w:tab w:val="left" w:pos="2394"/>
        </w:tabs>
        <w:rPr>
          <w:spacing w:val="-2"/>
        </w:rPr>
      </w:pPr>
      <w:r w:rsidRPr="00FE48B5">
        <w:rPr>
          <w:spacing w:val="-2"/>
        </w:rPr>
        <w:t>Cette condition de court-circuit "critique" (ou seuil) a été trouvée pour une valeur d’inductance parasite de L</w:t>
      </w:r>
      <w:r w:rsidRPr="00893340">
        <w:rPr>
          <w:spacing w:val="-2"/>
          <w:vertAlign w:val="subscript"/>
        </w:rPr>
        <w:t>p</w:t>
      </w:r>
      <w:r w:rsidR="00893340">
        <w:rPr>
          <w:spacing w:val="-2"/>
        </w:rPr>
        <w:t xml:space="preserve"> = 20 nH. La figure 15 m</w:t>
      </w:r>
      <w:r w:rsidRPr="00FE48B5">
        <w:rPr>
          <w:spacing w:val="-2"/>
        </w:rPr>
        <w:t>ontre que certaines des macr</w:t>
      </w:r>
      <w:r w:rsidR="00893340">
        <w:rPr>
          <w:spacing w:val="-2"/>
        </w:rPr>
        <w:t xml:space="preserve">o-cellules commencent à partir </w:t>
      </w:r>
      <w:r w:rsidRPr="00FE48B5">
        <w:rPr>
          <w:spacing w:val="-2"/>
        </w:rPr>
        <w:t>en latch-up tandis que d’autres commutent normalement.</w:t>
      </w:r>
    </w:p>
    <w:p w:rsidR="00552884" w:rsidRDefault="00552884" w:rsidP="00552884">
      <w:pPr>
        <w:ind w:firstLine="0"/>
        <w:rPr>
          <w:spacing w:val="-2"/>
        </w:rPr>
      </w:pPr>
      <w:r>
        <w:rPr>
          <w:spacing w:val="-2"/>
        </w:rPr>
        <w:t>Pour</w:t>
      </w:r>
      <w:r w:rsidRPr="00FE48B5">
        <w:rPr>
          <w:spacing w:val="-2"/>
        </w:rPr>
        <w:t xml:space="preserve"> ces conditions « critique », et </w:t>
      </w:r>
      <w:r>
        <w:rPr>
          <w:spacing w:val="-2"/>
        </w:rPr>
        <w:t>dans le cas</w:t>
      </w:r>
      <w:r w:rsidRPr="00FE48B5">
        <w:rPr>
          <w:spacing w:val="-2"/>
        </w:rPr>
        <w:t xml:space="preserve"> d’une puce IGBT dotée d’une métallisation vieillie</w:t>
      </w:r>
      <w:r>
        <w:rPr>
          <w:spacing w:val="-2"/>
        </w:rPr>
        <w:t xml:space="preserve"> (dont la résistivité a été détériorée d’un facteur 2) puis,</w:t>
      </w:r>
      <w:r w:rsidRPr="00FE48B5">
        <w:rPr>
          <w:spacing w:val="-2"/>
        </w:rPr>
        <w:t xml:space="preserve"> soumise à un court-circuit, on peut suivre les évolutions des formes d’onde</w:t>
      </w:r>
      <w:r>
        <w:rPr>
          <w:spacing w:val="-2"/>
        </w:rPr>
        <w:t>s</w:t>
      </w:r>
      <w:r w:rsidRPr="00FE48B5">
        <w:rPr>
          <w:spacing w:val="-2"/>
        </w:rPr>
        <w:t xml:space="preserve"> de courant de court-circuit qui traverse chacune de ses macro-cellules en particulier leur comportement à l’ouverture.</w:t>
      </w:r>
      <w:r w:rsidR="00DA6B74">
        <w:rPr>
          <w:spacing w:val="-2"/>
        </w:rPr>
        <w:t xml:space="preserve"> </w:t>
      </w:r>
      <w:r w:rsidRPr="00FE48B5">
        <w:rPr>
          <w:spacing w:val="-2"/>
        </w:rPr>
        <w:t xml:space="preserve">Seul donc l’état physique de la couche de métallisation a varié. Cela </w:t>
      </w:r>
      <w:r>
        <w:rPr>
          <w:spacing w:val="-2"/>
        </w:rPr>
        <w:t>devrait nous permettre d’évaluer l’impact du</w:t>
      </w:r>
      <w:r w:rsidRPr="00FE48B5">
        <w:rPr>
          <w:spacing w:val="-2"/>
        </w:rPr>
        <w:t xml:space="preserve"> vieillissement de cette cou</w:t>
      </w:r>
      <w:r>
        <w:rPr>
          <w:spacing w:val="-2"/>
        </w:rPr>
        <w:t xml:space="preserve">che de métallisation sur l’apparition </w:t>
      </w:r>
      <w:r w:rsidRPr="00FE48B5">
        <w:rPr>
          <w:spacing w:val="-2"/>
        </w:rPr>
        <w:t>du latch-up.</w:t>
      </w:r>
    </w:p>
    <w:p w:rsidR="00552884" w:rsidRPr="00FE48B5" w:rsidRDefault="00552884" w:rsidP="00CF26A0">
      <w:pPr>
        <w:tabs>
          <w:tab w:val="left" w:pos="2394"/>
        </w:tabs>
        <w:rPr>
          <w:spacing w:val="-2"/>
        </w:rPr>
      </w:pPr>
    </w:p>
    <w:p w:rsidR="00CF26A0" w:rsidRDefault="000325A1" w:rsidP="00CF26A0">
      <w:pPr>
        <w:ind w:firstLine="0"/>
        <w:jc w:val="center"/>
        <w:rPr>
          <w:sz w:val="16"/>
          <w:szCs w:val="16"/>
        </w:rPr>
      </w:pPr>
      <w:r>
        <w:rPr>
          <w:noProof/>
          <w:sz w:val="16"/>
          <w:szCs w:val="16"/>
          <w:lang w:eastAsia="fr-FR"/>
        </w:rPr>
        <w:drawing>
          <wp:inline distT="0" distB="0" distL="0" distR="0">
            <wp:extent cx="3305578" cy="223075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16344" cy="2238021"/>
                    </a:xfrm>
                    <a:prstGeom prst="rect">
                      <a:avLst/>
                    </a:prstGeom>
                    <a:noFill/>
                  </pic:spPr>
                </pic:pic>
              </a:graphicData>
            </a:graphic>
          </wp:inline>
        </w:drawing>
      </w:r>
    </w:p>
    <w:p w:rsidR="00CF26A0" w:rsidRPr="00CF26A0" w:rsidRDefault="000E5D16" w:rsidP="000E5D16">
      <w:pPr>
        <w:ind w:firstLine="0"/>
      </w:pPr>
      <w:r>
        <w:rPr>
          <w:sz w:val="16"/>
          <w:szCs w:val="16"/>
        </w:rPr>
        <w:t>Fig 15</w:t>
      </w:r>
      <w:r w:rsidR="00CF26A0" w:rsidRPr="00CF26A0">
        <w:rPr>
          <w:sz w:val="16"/>
          <w:szCs w:val="16"/>
        </w:rPr>
        <w:t xml:space="preserve"> Condition de court-circuit "critique" (ou seuil) obtenue pour Lp = 20 nH</w:t>
      </w:r>
    </w:p>
    <w:p w:rsidR="00CF26A0" w:rsidRPr="00FE48B5" w:rsidRDefault="00893340" w:rsidP="00893340">
      <w:pPr>
        <w:ind w:firstLine="0"/>
        <w:rPr>
          <w:spacing w:val="-2"/>
        </w:rPr>
      </w:pPr>
      <w:r>
        <w:rPr>
          <w:spacing w:val="-2"/>
        </w:rPr>
        <w:t xml:space="preserve">     </w:t>
      </w:r>
      <w:r w:rsidR="00CF26A0" w:rsidRPr="00FE48B5">
        <w:rPr>
          <w:spacing w:val="-2"/>
        </w:rPr>
        <w:t>Les r</w:t>
      </w:r>
      <w:r>
        <w:rPr>
          <w:spacing w:val="-2"/>
        </w:rPr>
        <w:t>ésultats de simulation illustrés en figure 16</w:t>
      </w:r>
      <w:r w:rsidR="00CF26A0" w:rsidRPr="00FE48B5">
        <w:rPr>
          <w:spacing w:val="-2"/>
        </w:rPr>
        <w:t xml:space="preserve"> montrent que dans des conditions de simulation strictement identiques</w:t>
      </w:r>
      <w:r>
        <w:rPr>
          <w:spacing w:val="-2"/>
        </w:rPr>
        <w:t xml:space="preserve"> que celles de la figure 15, il n'y a pas de latch-up dans le</w:t>
      </w:r>
      <w:r w:rsidR="00CF26A0" w:rsidRPr="00FE48B5">
        <w:rPr>
          <w:spacing w:val="-2"/>
        </w:rPr>
        <w:t xml:space="preserve"> composant vieilli. Toutes les macro-cellules de l’IGBT vieilli ont tendance à commuter normalement le court-circuit. </w:t>
      </w:r>
    </w:p>
    <w:p w:rsidR="00CF26A0" w:rsidRPr="00CF26A0" w:rsidRDefault="000325A1" w:rsidP="00CF26A0">
      <w:pPr>
        <w:ind w:firstLine="0"/>
        <w:jc w:val="center"/>
        <w:rPr>
          <w:lang w:bidi="en-US"/>
        </w:rPr>
      </w:pPr>
      <w:r>
        <w:rPr>
          <w:noProof/>
          <w:lang w:eastAsia="fr-FR"/>
        </w:rPr>
        <w:drawing>
          <wp:inline distT="0" distB="0" distL="0" distR="0">
            <wp:extent cx="3339198" cy="260159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54797" cy="2613748"/>
                    </a:xfrm>
                    <a:prstGeom prst="rect">
                      <a:avLst/>
                    </a:prstGeom>
                    <a:noFill/>
                  </pic:spPr>
                </pic:pic>
              </a:graphicData>
            </a:graphic>
          </wp:inline>
        </w:drawing>
      </w:r>
    </w:p>
    <w:p w:rsidR="00DE4448" w:rsidRPr="00DE4448" w:rsidRDefault="000E5D16" w:rsidP="00DE4448">
      <w:pPr>
        <w:pStyle w:val="Lgende"/>
        <w:spacing w:before="240" w:after="240" w:line="276" w:lineRule="auto"/>
        <w:jc w:val="center"/>
        <w:rPr>
          <w:rFonts w:eastAsiaTheme="minorEastAsia"/>
          <w:lang w:val="fr-FR" w:eastAsia="fr-FR"/>
        </w:rPr>
      </w:pPr>
      <w:r>
        <w:rPr>
          <w:lang w:val="fr-FR"/>
        </w:rPr>
        <w:t>Fig 16</w:t>
      </w:r>
      <w:r w:rsidR="00DE4448" w:rsidRPr="00DE4448">
        <w:rPr>
          <w:lang w:val="fr-FR"/>
        </w:rPr>
        <w:t xml:space="preserve">  Condition de court-circuit « critique » appliquée à une puce d’IGBT dotée d’une puce vieillie </w:t>
      </w:r>
    </w:p>
    <w:p w:rsidR="00C32E83" w:rsidRPr="00FE48B5" w:rsidRDefault="00893340" w:rsidP="008D1344">
      <w:pPr>
        <w:tabs>
          <w:tab w:val="left" w:pos="2394"/>
        </w:tabs>
        <w:rPr>
          <w:spacing w:val="-2"/>
        </w:rPr>
      </w:pPr>
      <w:r>
        <w:rPr>
          <w:spacing w:val="-2"/>
        </w:rPr>
        <w:t xml:space="preserve">Nos </w:t>
      </w:r>
      <w:r w:rsidR="00DE4448" w:rsidRPr="00FE48B5">
        <w:rPr>
          <w:spacing w:val="-2"/>
        </w:rPr>
        <w:t>résultats de simulations semblent indiquer que le vieillissement de la métallisation n'est pas responsable de la défaillance par latch-up dynamique observée</w:t>
      </w:r>
      <w:r>
        <w:rPr>
          <w:spacing w:val="-2"/>
        </w:rPr>
        <w:t xml:space="preserve"> expérimentalement</w:t>
      </w:r>
      <w:r w:rsidR="00DE4448" w:rsidRPr="00FE48B5">
        <w:rPr>
          <w:spacing w:val="-2"/>
        </w:rPr>
        <w:t xml:space="preserve"> au dernier cycle de co</w:t>
      </w:r>
      <w:r>
        <w:rPr>
          <w:spacing w:val="-2"/>
        </w:rPr>
        <w:t>urt-circuit répétitif. Toutefois</w:t>
      </w:r>
      <w:r w:rsidR="00DE4448" w:rsidRPr="00FE48B5">
        <w:rPr>
          <w:spacing w:val="-2"/>
        </w:rPr>
        <w:t>, ces résultats doivent être confirmés par des travaux complémentaires d’analyse plus poussé</w:t>
      </w:r>
      <w:r>
        <w:rPr>
          <w:spacing w:val="-2"/>
        </w:rPr>
        <w:t>e</w:t>
      </w:r>
      <w:r w:rsidR="00DE4448" w:rsidRPr="00FE48B5">
        <w:rPr>
          <w:spacing w:val="-2"/>
        </w:rPr>
        <w:t xml:space="preserve">. </w:t>
      </w:r>
    </w:p>
    <w:p w:rsidR="00524F7B" w:rsidRPr="00EC2220" w:rsidRDefault="00524F7B" w:rsidP="00C63199">
      <w:pPr>
        <w:pStyle w:val="Titre1"/>
        <w:rPr>
          <w:rFonts w:eastAsia="MS Mincho"/>
        </w:rPr>
      </w:pPr>
      <w:r>
        <w:rPr>
          <w:rFonts w:eastAsia="MS Mincho"/>
        </w:rPr>
        <w:t>Conclusions</w:t>
      </w:r>
    </w:p>
    <w:p w:rsidR="00DE4448" w:rsidRPr="00FE48B5" w:rsidRDefault="00DE4448" w:rsidP="00FE48B5">
      <w:pPr>
        <w:tabs>
          <w:tab w:val="left" w:pos="2394"/>
        </w:tabs>
        <w:rPr>
          <w:spacing w:val="-2"/>
        </w:rPr>
      </w:pPr>
      <w:r w:rsidRPr="00FE48B5">
        <w:rPr>
          <w:spacing w:val="-2"/>
        </w:rPr>
        <w:t xml:space="preserve">     Les résultats des simulations montrent l’impact de la position relative du contact bonding à la surface de la métallisation sur les distributions de température et de courant. En effet, ces résultats relèvent que les niveaux de courant et de </w:t>
      </w:r>
      <w:r w:rsidRPr="00FE48B5">
        <w:rPr>
          <w:spacing w:val="-2"/>
        </w:rPr>
        <w:lastRenderedPageBreak/>
        <w:t>température sont plus importants autour des contacts de fils de bonding.</w:t>
      </w:r>
    </w:p>
    <w:p w:rsidR="00DE4448" w:rsidRPr="00FE48B5" w:rsidRDefault="00DE4448" w:rsidP="00F844BE">
      <w:pPr>
        <w:tabs>
          <w:tab w:val="left" w:pos="2394"/>
        </w:tabs>
        <w:ind w:firstLine="0"/>
        <w:rPr>
          <w:spacing w:val="-2"/>
        </w:rPr>
      </w:pPr>
      <w:r w:rsidRPr="00FE48B5">
        <w:rPr>
          <w:spacing w:val="-2"/>
        </w:rPr>
        <w:t>Il en ressort que le vieillissement de la métallisation supérieure accentue les inhomogénéités dans la r</w:t>
      </w:r>
      <w:r w:rsidR="00F844BE">
        <w:rPr>
          <w:spacing w:val="-2"/>
        </w:rPr>
        <w:t>épartition du</w:t>
      </w:r>
      <w:r w:rsidRPr="00FE48B5">
        <w:rPr>
          <w:spacing w:val="-2"/>
        </w:rPr>
        <w:t xml:space="preserve"> flux de courant et de température dans la couche de la métallisation. Les résultats de simulations montrent la forte dépendance du comportement de courant du collecteur de l’IGBT vis à vis des valeurs de l'inductance parasite en commutation et en particulier lors de la phase de blocage.</w:t>
      </w:r>
    </w:p>
    <w:p w:rsidR="008D1344" w:rsidRDefault="00DE4448" w:rsidP="00F844BE">
      <w:pPr>
        <w:tabs>
          <w:tab w:val="left" w:pos="2394"/>
        </w:tabs>
        <w:ind w:firstLine="0"/>
        <w:rPr>
          <w:spacing w:val="-2"/>
        </w:rPr>
      </w:pPr>
      <w:r w:rsidRPr="00FE48B5">
        <w:rPr>
          <w:spacing w:val="-2"/>
        </w:rPr>
        <w:t xml:space="preserve">Nos travaux ont également permis de mettre en évidence et confirmer le mode de défaillance par latch-up dynamique observé expérimentalement dans un IGBT en court-circuit-répétitif lors de la phase de blocage du composant au dernier cycle. Ce résultat est très important car c’est la première fois, à notre connaissance, que ce mode de défaillance est confirmé numériquement. En outre, les résultats numériques suggèrent que le vieillissement de la métallisation supérieure de la puce IGBT n'est à priori pas à l’origine de l’apparition de cette défaillance. Néanmoins, ces résultats </w:t>
      </w:r>
      <w:r w:rsidR="00E35D8E">
        <w:rPr>
          <w:spacing w:val="-2"/>
        </w:rPr>
        <w:t>restent à</w:t>
      </w:r>
      <w:r w:rsidR="00E5142B">
        <w:rPr>
          <w:spacing w:val="-2"/>
        </w:rPr>
        <w:t xml:space="preserve"> </w:t>
      </w:r>
      <w:r w:rsidRPr="00FE48B5">
        <w:rPr>
          <w:spacing w:val="-2"/>
        </w:rPr>
        <w:t>être confirmés par d'autres analyses.</w:t>
      </w:r>
    </w:p>
    <w:p w:rsidR="00E45225" w:rsidRDefault="00E45225" w:rsidP="00E45225">
      <w:pPr>
        <w:pStyle w:val="Titre1"/>
        <w:rPr>
          <w:rFonts w:eastAsia="MS Mincho"/>
        </w:rPr>
      </w:pPr>
      <w:r>
        <w:rPr>
          <w:rFonts w:eastAsia="MS Mincho"/>
        </w:rPr>
        <w:t>References</w:t>
      </w:r>
    </w:p>
    <w:p w:rsidR="00E45225" w:rsidRPr="006A13FC" w:rsidRDefault="00E45225" w:rsidP="00E45225">
      <w:pPr>
        <w:pStyle w:val="Rfrences"/>
        <w:numPr>
          <w:ilvl w:val="0"/>
          <w:numId w:val="29"/>
        </w:numPr>
        <w:spacing w:after="0" w:line="240" w:lineRule="auto"/>
        <w:rPr>
          <w:color w:val="FF0000"/>
          <w:lang w:val="en-US"/>
        </w:rPr>
      </w:pPr>
      <w:r w:rsidRPr="006A13FC">
        <w:rPr>
          <w:lang w:val="en-US"/>
        </w:rPr>
        <w:t>.R. Hefner, D.L. Blackburn, « An Analytical Model for the Steady-State and Transient Characteristics of the Power Insulated-Gate</w:t>
      </w:r>
      <w:r>
        <w:rPr>
          <w:lang w:val="en-US"/>
        </w:rPr>
        <w:t xml:space="preserve"> </w:t>
      </w:r>
      <w:r w:rsidRPr="006A13FC">
        <w:rPr>
          <w:lang w:val="en-US"/>
        </w:rPr>
        <w:t xml:space="preserve">Bipolar Transistor », Solid-state Electronics, Vol. 31, No. 10, pp: 1513-1532, (1988). </w:t>
      </w:r>
    </w:p>
    <w:p w:rsidR="00E45225" w:rsidRPr="00DB0C55" w:rsidRDefault="00E45225" w:rsidP="00E45225">
      <w:pPr>
        <w:pStyle w:val="Rfrences"/>
        <w:numPr>
          <w:ilvl w:val="0"/>
          <w:numId w:val="29"/>
        </w:numPr>
        <w:spacing w:after="0" w:line="240" w:lineRule="auto"/>
        <w:rPr>
          <w:lang w:val="en-US"/>
        </w:rPr>
      </w:pPr>
      <w:r w:rsidRPr="00CC5416">
        <w:rPr>
          <w:lang w:val="en-US"/>
        </w:rPr>
        <w:lastRenderedPageBreak/>
        <w:t>A.R. Hefner, "A Dynamic Electro-Thermal Model for the IGBT", IEEE Trans. on industry applications, vol.30,N°2, pp.394-405, 1994.</w:t>
      </w:r>
    </w:p>
    <w:p w:rsidR="00E45225" w:rsidRPr="00271763" w:rsidRDefault="00E45225" w:rsidP="00E45225">
      <w:pPr>
        <w:pStyle w:val="Rfrences"/>
        <w:numPr>
          <w:ilvl w:val="0"/>
          <w:numId w:val="29"/>
        </w:numPr>
        <w:spacing w:after="0" w:line="240" w:lineRule="auto"/>
        <w:rPr>
          <w:lang w:val="en-US"/>
        </w:rPr>
      </w:pPr>
      <w:r w:rsidRPr="00271763">
        <w:rPr>
          <w:lang w:val="en-US"/>
        </w:rPr>
        <w:t>H. Dia, J.B. Sauveplane, P. Tounsi, J-M. Dorkel , "A Temperature-Dependent POWER MOSFET Model for Switching Application", Therminic 2009.</w:t>
      </w:r>
    </w:p>
    <w:p w:rsidR="00E45225" w:rsidRPr="00DB0C55" w:rsidRDefault="00E45225" w:rsidP="00E45225">
      <w:pPr>
        <w:pStyle w:val="Rfrences"/>
        <w:numPr>
          <w:ilvl w:val="0"/>
          <w:numId w:val="29"/>
        </w:numPr>
        <w:spacing w:after="0" w:line="240" w:lineRule="auto"/>
        <w:rPr>
          <w:lang w:val="en-US"/>
        </w:rPr>
      </w:pPr>
      <w:r w:rsidRPr="00CC5416">
        <w:rPr>
          <w:lang w:val="en-US"/>
        </w:rPr>
        <w:t>A. Irace, G. Breglio, P. Spirito, "</w:t>
      </w:r>
      <w:r w:rsidRPr="00CC5416">
        <w:rPr>
          <w:bCs/>
          <w:lang w:val="en-US"/>
        </w:rPr>
        <w:t>New developments of THERMOS3, a tool for 3D electro-thermal simulation of smart power MOSFETs", Microelectronics Reliability</w:t>
      </w:r>
      <w:r w:rsidRPr="00CC5416">
        <w:rPr>
          <w:iCs/>
          <w:lang w:val="en-US"/>
        </w:rPr>
        <w:t>, Vol.47, pp.1706-1710</w:t>
      </w:r>
      <w:r w:rsidRPr="00CC5416">
        <w:rPr>
          <w:bCs/>
          <w:lang w:val="en-US"/>
        </w:rPr>
        <w:t>, 2007.</w:t>
      </w:r>
    </w:p>
    <w:p w:rsidR="00E45225" w:rsidRDefault="00E45225" w:rsidP="00E45225">
      <w:pPr>
        <w:pStyle w:val="Rfrences"/>
        <w:numPr>
          <w:ilvl w:val="0"/>
          <w:numId w:val="29"/>
        </w:numPr>
        <w:spacing w:after="0" w:line="240" w:lineRule="auto"/>
        <w:rPr>
          <w:lang w:val="en-US"/>
        </w:rPr>
      </w:pPr>
      <w:r w:rsidRPr="00CC5416">
        <w:rPr>
          <w:lang w:val="en-US"/>
        </w:rPr>
        <w:t>L. Codecasa, D. D'Amore, P. Maffezzoni, "</w:t>
      </w:r>
      <w:r w:rsidRPr="00CC5416">
        <w:rPr>
          <w:bCs/>
          <w:lang w:val="en-US"/>
        </w:rPr>
        <w:t xml:space="preserve">Compact Modelling of Electrical Devices for Electrothermal Analysis", IEEE </w:t>
      </w:r>
      <w:r w:rsidRPr="00CC5416">
        <w:rPr>
          <w:lang w:val="en-US"/>
        </w:rPr>
        <w:t>Trans. on circuits and systems-I</w:t>
      </w:r>
      <w:r w:rsidRPr="00CC5416">
        <w:rPr>
          <w:iCs/>
          <w:lang w:val="en-US"/>
        </w:rPr>
        <w:t>, Vol.50, N°4, pp.465-476</w:t>
      </w:r>
      <w:r w:rsidRPr="00CC5416">
        <w:rPr>
          <w:bCs/>
          <w:lang w:val="en-US"/>
        </w:rPr>
        <w:t>, 2003.</w:t>
      </w:r>
    </w:p>
    <w:p w:rsidR="00E45225" w:rsidRPr="00E45225" w:rsidRDefault="00E45225" w:rsidP="00E45225">
      <w:pPr>
        <w:pStyle w:val="Rfrences"/>
        <w:numPr>
          <w:ilvl w:val="0"/>
          <w:numId w:val="0"/>
        </w:numPr>
        <w:spacing w:after="0" w:line="240" w:lineRule="auto"/>
        <w:ind w:left="567"/>
        <w:rPr>
          <w:spacing w:val="-2"/>
          <w:lang w:val="en-US"/>
        </w:rPr>
      </w:pPr>
    </w:p>
    <w:p w:rsidR="00E45225" w:rsidRPr="00CC5416" w:rsidRDefault="00E45225" w:rsidP="00E45225">
      <w:pPr>
        <w:pStyle w:val="Rfrences"/>
        <w:numPr>
          <w:ilvl w:val="0"/>
          <w:numId w:val="29"/>
        </w:numPr>
        <w:spacing w:after="0" w:line="240" w:lineRule="auto"/>
        <w:rPr>
          <w:lang w:val="en-US"/>
        </w:rPr>
      </w:pPr>
      <w:r w:rsidRPr="00CC5416">
        <w:rPr>
          <w:lang w:val="en-US"/>
        </w:rPr>
        <w:t>M. Riccio et al., "Compact Electro-thermal modeling and simulation of large area multicellular Trench-IGBT", Proc. 27</w:t>
      </w:r>
      <w:r w:rsidRPr="00CC5416">
        <w:rPr>
          <w:vertAlign w:val="superscript"/>
          <w:lang w:val="en-US"/>
        </w:rPr>
        <w:t>th</w:t>
      </w:r>
      <w:r w:rsidRPr="00CC5416">
        <w:rPr>
          <w:lang w:val="en-US"/>
        </w:rPr>
        <w:t xml:space="preserve"> Inter. Conf. on microelectronics, Nis, Serbia, 2010.</w:t>
      </w:r>
    </w:p>
    <w:p w:rsidR="00E45225" w:rsidRPr="00AE444C" w:rsidRDefault="00E45225" w:rsidP="00E45225">
      <w:pPr>
        <w:pStyle w:val="Rfrences"/>
        <w:numPr>
          <w:ilvl w:val="0"/>
          <w:numId w:val="29"/>
        </w:numPr>
        <w:spacing w:after="0" w:line="240" w:lineRule="auto"/>
        <w:rPr>
          <w:lang w:val="en-US"/>
        </w:rPr>
      </w:pPr>
      <w:r w:rsidRPr="00CC5416">
        <w:rPr>
          <w:lang w:val="en-US"/>
        </w:rPr>
        <w:t>T. Ibrahim, B. Allard, H. Morel, S. MRad, "</w:t>
      </w:r>
      <w:r w:rsidRPr="00CC5416">
        <w:rPr>
          <w:bCs/>
          <w:lang w:val="en-US"/>
        </w:rPr>
        <w:t>VHDL-AMS model of IGBT for electro-thermal simulation", EPE Conf.</w:t>
      </w:r>
      <w:r w:rsidRPr="00CC5416">
        <w:rPr>
          <w:iCs/>
          <w:lang w:val="en-US"/>
        </w:rPr>
        <w:t>, Aalborg</w:t>
      </w:r>
      <w:r w:rsidRPr="00CC5416">
        <w:rPr>
          <w:bCs/>
          <w:lang w:val="en-US"/>
        </w:rPr>
        <w:t>, 2007</w:t>
      </w:r>
    </w:p>
    <w:p w:rsidR="00E45225" w:rsidRDefault="00E45225" w:rsidP="00E45225">
      <w:pPr>
        <w:pStyle w:val="Rfrences"/>
        <w:numPr>
          <w:ilvl w:val="0"/>
          <w:numId w:val="29"/>
        </w:numPr>
        <w:spacing w:after="0" w:line="240" w:lineRule="auto"/>
        <w:rPr>
          <w:bCs/>
          <w:lang w:val="en-US"/>
        </w:rPr>
      </w:pPr>
      <w:r w:rsidRPr="00CC5416">
        <w:rPr>
          <w:lang w:val="en-US"/>
        </w:rPr>
        <w:t xml:space="preserve">S. Pietranico et al, “Study of ageing of the metallization layer of power semiconductor devices”, </w:t>
      </w:r>
      <w:r w:rsidRPr="00CC5416">
        <w:rPr>
          <w:bCs/>
          <w:lang w:val="en-US"/>
        </w:rPr>
        <w:t>Proc. of PCIM conference, p.356-361, May 2010, Nuremberg, Germany.</w:t>
      </w:r>
    </w:p>
    <w:p w:rsidR="00E45225" w:rsidRPr="00CC5416" w:rsidRDefault="00E45225" w:rsidP="00E45225">
      <w:pPr>
        <w:pStyle w:val="Rfrences"/>
        <w:numPr>
          <w:ilvl w:val="0"/>
          <w:numId w:val="29"/>
        </w:numPr>
        <w:spacing w:after="0" w:line="240" w:lineRule="auto"/>
        <w:rPr>
          <w:bCs/>
          <w:lang w:val="en-US"/>
        </w:rPr>
      </w:pPr>
      <w:r>
        <w:rPr>
          <w:lang w:val="en-US"/>
        </w:rPr>
        <w:t xml:space="preserve">S. Lefebvre, Z. Khatir, F. Saint-Eve “ Experimental Behavior of Single-Chip IGBT and COOLMOS Devices Under Repetitive Short-Circuit Conditions”, </w:t>
      </w:r>
      <w:r w:rsidRPr="005424AD">
        <w:rPr>
          <w:bCs/>
          <w:lang w:val="en-US"/>
        </w:rPr>
        <w:t xml:space="preserve">IEEE </w:t>
      </w:r>
      <w:r>
        <w:rPr>
          <w:lang w:val="en-US"/>
        </w:rPr>
        <w:t>Trans. on Electron devices</w:t>
      </w:r>
      <w:r w:rsidRPr="005424AD">
        <w:rPr>
          <w:iCs/>
          <w:lang w:val="en-US"/>
        </w:rPr>
        <w:t xml:space="preserve">, </w:t>
      </w:r>
      <w:r>
        <w:rPr>
          <w:iCs/>
          <w:lang w:val="en-US"/>
        </w:rPr>
        <w:t>Vol.52</w:t>
      </w:r>
      <w:r w:rsidRPr="005424AD">
        <w:rPr>
          <w:iCs/>
          <w:lang w:val="en-US"/>
        </w:rPr>
        <w:t xml:space="preserve">, </w:t>
      </w:r>
      <w:r>
        <w:rPr>
          <w:iCs/>
          <w:lang w:val="en-US"/>
        </w:rPr>
        <w:t>N°2</w:t>
      </w:r>
      <w:r w:rsidRPr="005424AD">
        <w:rPr>
          <w:bCs/>
          <w:lang w:val="en-US"/>
        </w:rPr>
        <w:t xml:space="preserve">, </w:t>
      </w:r>
      <w:r>
        <w:rPr>
          <w:bCs/>
          <w:lang w:val="en-US"/>
        </w:rPr>
        <w:t>2005</w:t>
      </w:r>
    </w:p>
    <w:p w:rsidR="00E45225" w:rsidRPr="00FE48B5" w:rsidRDefault="00E45225" w:rsidP="00E45225">
      <w:pPr>
        <w:pStyle w:val="Rfrences"/>
        <w:numPr>
          <w:ilvl w:val="0"/>
          <w:numId w:val="29"/>
        </w:numPr>
        <w:spacing w:after="0" w:line="240" w:lineRule="auto"/>
        <w:rPr>
          <w:lang w:val="en-US"/>
        </w:rPr>
      </w:pPr>
      <w:r w:rsidRPr="00CC5416">
        <w:rPr>
          <w:lang w:val="en-US"/>
        </w:rPr>
        <w:t xml:space="preserve">M. Arab, S. Lefebvre, Z. Khatir, S. Bontemps, “Experimental Investigations of Trench Field Stop IGBT under Repetitive Short-Circuits Operations”, </w:t>
      </w:r>
      <w:r w:rsidRPr="00CC5416">
        <w:rPr>
          <w:bCs/>
          <w:lang w:val="en-US"/>
        </w:rPr>
        <w:t>Proc. of Power Electronics Specialist Conference, p.4355-4360, 2008, Rhodes, Gree</w:t>
      </w:r>
      <w:r>
        <w:rPr>
          <w:bCs/>
          <w:lang w:val="en-US"/>
        </w:rPr>
        <w:t>ce</w:t>
      </w:r>
    </w:p>
    <w:p w:rsidR="00E45225" w:rsidRPr="00FE48B5" w:rsidRDefault="00E45225" w:rsidP="00E45225">
      <w:pPr>
        <w:pStyle w:val="Rfrences"/>
        <w:numPr>
          <w:ilvl w:val="0"/>
          <w:numId w:val="29"/>
        </w:numPr>
        <w:spacing w:after="0" w:line="240" w:lineRule="auto"/>
        <w:rPr>
          <w:lang w:val="en-US"/>
        </w:rPr>
        <w:sectPr w:rsidR="00E45225" w:rsidRPr="00FE48B5" w:rsidSect="004445B3">
          <w:type w:val="continuous"/>
          <w:pgSz w:w="11909" w:h="16834" w:code="9"/>
          <w:pgMar w:top="1080" w:right="734" w:bottom="2434" w:left="734" w:header="720" w:footer="720" w:gutter="0"/>
          <w:cols w:num="2" w:space="360"/>
          <w:docGrid w:linePitch="360"/>
        </w:sectPr>
      </w:pPr>
      <w:r w:rsidRPr="0070617C">
        <w:rPr>
          <w:lang w:val="en-US"/>
        </w:rPr>
        <w:t>A. Akdag “soa IN High Power Semiconductors” IAC,</w:t>
      </w:r>
      <w:r>
        <w:rPr>
          <w:lang w:val="en-US"/>
        </w:rPr>
        <w:t xml:space="preserve"> October 2006, Tampa, USA. (ABB Switzerland Ltd). Pp. </w:t>
      </w:r>
      <w:r w:rsidRPr="002C28A2">
        <w:rPr>
          <w:lang w:val="en-US"/>
        </w:rPr>
        <w:t>1473 – 1477</w:t>
      </w:r>
    </w:p>
    <w:p w:rsidR="00BF408C" w:rsidRPr="00552884" w:rsidRDefault="00BF408C" w:rsidP="00C378D3">
      <w:pPr>
        <w:pStyle w:val="Rfrences"/>
        <w:numPr>
          <w:ilvl w:val="0"/>
          <w:numId w:val="0"/>
        </w:numPr>
        <w:spacing w:after="0" w:line="240" w:lineRule="auto"/>
        <w:rPr>
          <w:lang w:val="en-US"/>
        </w:rPr>
      </w:pPr>
      <w:bookmarkStart w:id="1" w:name="_GoBack"/>
      <w:bookmarkEnd w:id="1"/>
    </w:p>
    <w:sectPr w:rsidR="00BF408C" w:rsidRPr="00552884"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526" w:rsidRDefault="00C15526" w:rsidP="001518CC">
      <w:pPr>
        <w:spacing w:after="0" w:line="240" w:lineRule="auto"/>
      </w:pPr>
      <w:r>
        <w:separator/>
      </w:r>
    </w:p>
  </w:endnote>
  <w:endnote w:type="continuationSeparator" w:id="1">
    <w:p w:rsidR="00C15526" w:rsidRDefault="00C15526" w:rsidP="001518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526" w:rsidRDefault="00C15526" w:rsidP="001518CC">
      <w:pPr>
        <w:spacing w:after="0" w:line="240" w:lineRule="auto"/>
      </w:pPr>
      <w:r>
        <w:separator/>
      </w:r>
    </w:p>
  </w:footnote>
  <w:footnote w:type="continuationSeparator" w:id="1">
    <w:p w:rsidR="00C15526" w:rsidRDefault="00C15526" w:rsidP="001518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BF6" w:rsidRPr="00FC4009" w:rsidRDefault="00210BF6" w:rsidP="00FC4009">
    <w:pPr>
      <w:pStyle w:val="En-tte"/>
      <w:ind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BF6" w:rsidRPr="006A775F" w:rsidRDefault="00210BF6" w:rsidP="00FC4009">
    <w:pPr>
      <w:pStyle w:val="En-tte"/>
      <w:jc w:val="right"/>
      <w:rPr>
        <w:rFonts w:eastAsia="Times New Roman"/>
        <w:caps w:val="0"/>
        <w:spacing w:val="0"/>
        <w:sz w:val="16"/>
        <w:szCs w:val="16"/>
        <w:lang w:eastAsia="fr-FR"/>
      </w:rPr>
    </w:pPr>
    <w:r w:rsidRPr="00A75DC0">
      <w:rPr>
        <w:rFonts w:eastAsia="Times New Roman"/>
        <w:b/>
        <w:spacing w:val="0"/>
        <w:sz w:val="16"/>
        <w:szCs w:val="16"/>
        <w:lang w:eastAsia="fr-FR"/>
      </w:rPr>
      <w:t>S</w:t>
    </w:r>
    <w:r w:rsidRPr="006A775F">
      <w:rPr>
        <w:rFonts w:eastAsia="Times New Roman"/>
        <w:spacing w:val="0"/>
        <w:sz w:val="16"/>
        <w:szCs w:val="16"/>
        <w:lang w:eastAsia="fr-FR"/>
      </w:rPr>
      <w:t xml:space="preserve">ymposium de </w:t>
    </w:r>
    <w:r w:rsidRPr="00A75DC0">
      <w:rPr>
        <w:rFonts w:eastAsia="Times New Roman"/>
        <w:b/>
        <w:spacing w:val="0"/>
        <w:sz w:val="16"/>
        <w:szCs w:val="16"/>
        <w:lang w:eastAsia="fr-FR"/>
      </w:rPr>
      <w:t>G</w:t>
    </w:r>
    <w:r w:rsidRPr="006A775F">
      <w:rPr>
        <w:rFonts w:eastAsia="Times New Roman"/>
        <w:spacing w:val="0"/>
        <w:sz w:val="16"/>
        <w:szCs w:val="16"/>
        <w:lang w:eastAsia="fr-FR"/>
      </w:rPr>
      <w:t xml:space="preserve">énie </w:t>
    </w:r>
    <w:r w:rsidRPr="00A75DC0">
      <w:rPr>
        <w:rFonts w:eastAsia="Times New Roman"/>
        <w:b/>
        <w:spacing w:val="0"/>
        <w:sz w:val="16"/>
        <w:szCs w:val="16"/>
        <w:lang w:eastAsia="fr-FR"/>
      </w:rPr>
      <w:t>E</w:t>
    </w:r>
    <w:r w:rsidRPr="006A775F">
      <w:rPr>
        <w:rFonts w:eastAsia="Times New Roman"/>
        <w:spacing w:val="0"/>
        <w:sz w:val="16"/>
        <w:szCs w:val="16"/>
        <w:lang w:eastAsia="fr-FR"/>
      </w:rPr>
      <w:t>lectrique</w:t>
    </w:r>
    <w:r w:rsidR="008D1344">
      <w:rPr>
        <w:rFonts w:eastAsia="Times New Roman"/>
        <w:spacing w:val="0"/>
        <w:sz w:val="16"/>
        <w:szCs w:val="16"/>
        <w:lang w:eastAsia="fr-FR"/>
      </w:rPr>
      <w:t xml:space="preserve"> </w:t>
    </w:r>
    <w:r w:rsidRPr="006A775F">
      <w:rPr>
        <w:rFonts w:eastAsia="Times New Roman"/>
        <w:spacing w:val="0"/>
        <w:sz w:val="16"/>
        <w:szCs w:val="16"/>
        <w:lang w:eastAsia="fr-FR"/>
      </w:rPr>
      <w:t xml:space="preserve">(SGE’14) : EF-EPF-MGE 2014, </w:t>
    </w:r>
    <w:r>
      <w:rPr>
        <w:rFonts w:eastAsia="Times New Roman"/>
        <w:spacing w:val="0"/>
        <w:sz w:val="16"/>
        <w:szCs w:val="16"/>
        <w:lang w:eastAsia="fr-FR"/>
      </w:rPr>
      <w:t xml:space="preserve">8-10 juillet 2014, </w:t>
    </w:r>
    <w:r w:rsidRPr="006A775F">
      <w:rPr>
        <w:rFonts w:eastAsia="Times New Roman"/>
        <w:spacing w:val="0"/>
        <w:sz w:val="16"/>
        <w:szCs w:val="16"/>
        <w:lang w:eastAsia="fr-FR"/>
      </w:rPr>
      <w:t>ENS Cachan</w:t>
    </w:r>
    <w:r>
      <w:rPr>
        <w:rFonts w:eastAsia="Times New Roman"/>
        <w:spacing w:val="0"/>
        <w:sz w:val="16"/>
        <w:szCs w:val="16"/>
        <w:lang w:eastAsia="fr-FR"/>
      </w:rPr>
      <w:t>, France</w:t>
    </w:r>
  </w:p>
  <w:p w:rsidR="00210BF6" w:rsidRDefault="00210BF6" w:rsidP="00FC4009">
    <w:pPr>
      <w:pStyle w:val="En-tte"/>
      <w:jc w:val="right"/>
      <w:rPr>
        <w:rFonts w:eastAsia="Times New Roman"/>
        <w:spacing w:val="0"/>
        <w:lang w:eastAsia="fr-FR"/>
      </w:rPr>
    </w:pPr>
  </w:p>
  <w:p w:rsidR="00210BF6" w:rsidRDefault="00210BF6" w:rsidP="00FC4009">
    <w:pPr>
      <w:pStyle w:val="En-tt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424340"/>
    <w:lvl w:ilvl="0">
      <w:start w:val="1"/>
      <w:numFmt w:val="decimal"/>
      <w:lvlText w:val="%1."/>
      <w:lvlJc w:val="left"/>
      <w:pPr>
        <w:tabs>
          <w:tab w:val="num" w:pos="1492"/>
        </w:tabs>
        <w:ind w:left="1492" w:hanging="360"/>
      </w:pPr>
    </w:lvl>
  </w:abstractNum>
  <w:abstractNum w:abstractNumId="1">
    <w:nsid w:val="FFFFFF7D"/>
    <w:multiLevelType w:val="singleLevel"/>
    <w:tmpl w:val="890621AA"/>
    <w:lvl w:ilvl="0">
      <w:start w:val="1"/>
      <w:numFmt w:val="decimal"/>
      <w:lvlText w:val="%1."/>
      <w:lvlJc w:val="left"/>
      <w:pPr>
        <w:tabs>
          <w:tab w:val="num" w:pos="1209"/>
        </w:tabs>
        <w:ind w:left="1209" w:hanging="360"/>
      </w:pPr>
    </w:lvl>
  </w:abstractNum>
  <w:abstractNum w:abstractNumId="2">
    <w:nsid w:val="FFFFFF7E"/>
    <w:multiLevelType w:val="singleLevel"/>
    <w:tmpl w:val="077EA6C6"/>
    <w:lvl w:ilvl="0">
      <w:start w:val="1"/>
      <w:numFmt w:val="decimal"/>
      <w:lvlText w:val="%1."/>
      <w:lvlJc w:val="left"/>
      <w:pPr>
        <w:tabs>
          <w:tab w:val="num" w:pos="926"/>
        </w:tabs>
        <w:ind w:left="926" w:hanging="360"/>
      </w:pPr>
    </w:lvl>
  </w:abstractNum>
  <w:abstractNum w:abstractNumId="3">
    <w:nsid w:val="FFFFFF7F"/>
    <w:multiLevelType w:val="singleLevel"/>
    <w:tmpl w:val="5B4AC190"/>
    <w:lvl w:ilvl="0">
      <w:start w:val="1"/>
      <w:numFmt w:val="decimal"/>
      <w:lvlText w:val="%1."/>
      <w:lvlJc w:val="left"/>
      <w:pPr>
        <w:tabs>
          <w:tab w:val="num" w:pos="643"/>
        </w:tabs>
        <w:ind w:left="643" w:hanging="360"/>
      </w:pPr>
    </w:lvl>
  </w:abstractNum>
  <w:abstractNum w:abstractNumId="4">
    <w:nsid w:val="FFFFFF80"/>
    <w:multiLevelType w:val="singleLevel"/>
    <w:tmpl w:val="D076C0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4AA20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F987E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ACE06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704124"/>
    <w:lvl w:ilvl="0">
      <w:start w:val="1"/>
      <w:numFmt w:val="decimal"/>
      <w:lvlText w:val="%1."/>
      <w:lvlJc w:val="left"/>
      <w:pPr>
        <w:tabs>
          <w:tab w:val="num" w:pos="360"/>
        </w:tabs>
        <w:ind w:left="360" w:hanging="360"/>
      </w:pPr>
    </w:lvl>
  </w:abstractNum>
  <w:abstractNum w:abstractNumId="9">
    <w:nsid w:val="FFFFFF89"/>
    <w:multiLevelType w:val="singleLevel"/>
    <w:tmpl w:val="526A10CE"/>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96E0208"/>
    <w:multiLevelType w:val="multilevel"/>
    <w:tmpl w:val="D66C9ECE"/>
    <w:lvl w:ilvl="0">
      <w:start w:val="1"/>
      <w:numFmt w:val="decimal"/>
      <w:lvlText w:val="[%1]"/>
      <w:lvlJc w:val="left"/>
      <w:pPr>
        <w:tabs>
          <w:tab w:val="num" w:pos="567"/>
        </w:tabs>
        <w:ind w:left="567" w:hanging="567"/>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5">
    <w:nsid w:val="4189603E"/>
    <w:multiLevelType w:val="multilevel"/>
    <w:tmpl w:val="E57E932E"/>
    <w:lvl w:ilvl="0">
      <w:start w:val="1"/>
      <w:numFmt w:val="decimal"/>
      <w:pStyle w:val="Titre1"/>
      <w:lvlText w:val="%1."/>
      <w:lvlJc w:val="left"/>
      <w:pPr>
        <w:ind w:left="432" w:hanging="432"/>
      </w:pPr>
      <w:rPr>
        <w:rFonts w:hint="default"/>
        <w:caps w:val="0"/>
        <w:strike w:val="0"/>
        <w:dstrike w:val="0"/>
        <w:vanish w:val="0"/>
        <w:color w:val="auto"/>
        <w:sz w:val="20"/>
        <w:szCs w:val="20"/>
        <w:vertAlign w:val="baseline"/>
      </w:rPr>
    </w:lvl>
    <w:lvl w:ilvl="1">
      <w:start w:val="1"/>
      <w:numFmt w:val="decimal"/>
      <w:pStyle w:val="Titre2"/>
      <w:lvlText w:val="%1.%2."/>
      <w:lvlJc w:val="left"/>
      <w:pPr>
        <w:ind w:left="576" w:hanging="576"/>
      </w:pPr>
      <w:rPr>
        <w:rFonts w:hint="default"/>
        <w:b w:val="0"/>
        <w:bCs w:val="0"/>
        <w:i/>
        <w:iCs/>
        <w:caps w:val="0"/>
        <w:strike w:val="0"/>
        <w:dstrike w:val="0"/>
        <w:vanish w:val="0"/>
        <w:color w:val="auto"/>
        <w:sz w:val="20"/>
        <w:szCs w:val="20"/>
        <w:vertAlign w:val="baseline"/>
      </w:rPr>
    </w:lvl>
    <w:lvl w:ilvl="2">
      <w:start w:val="1"/>
      <w:numFmt w:val="decimal"/>
      <w:pStyle w:val="Titre3"/>
      <w:lvlText w:val="%1.%2.%3."/>
      <w:lvlJc w:val="left"/>
      <w:pPr>
        <w:ind w:left="720" w:hanging="720"/>
      </w:pPr>
      <w:rPr>
        <w:rFonts w:hint="default"/>
        <w:b w:val="0"/>
        <w:bCs w:val="0"/>
        <w:i/>
        <w:iCs/>
        <w:caps w:val="0"/>
        <w:strike w:val="0"/>
        <w:dstrike w:val="0"/>
        <w:vanish w:val="0"/>
        <w:color w:val="auto"/>
        <w:sz w:val="20"/>
        <w:szCs w:val="20"/>
        <w:vertAlign w:val="baseline"/>
      </w:rPr>
    </w:lvl>
    <w:lvl w:ilvl="3">
      <w:start w:val="1"/>
      <w:numFmt w:val="decimal"/>
      <w:pStyle w:val="Titre4"/>
      <w:lvlText w:val="%1.%2.%3.%4"/>
      <w:lvlJc w:val="left"/>
      <w:pPr>
        <w:ind w:left="864" w:hanging="864"/>
      </w:pPr>
      <w:rPr>
        <w:rFonts w:hint="default"/>
        <w:b w:val="0"/>
        <w:bCs w:val="0"/>
        <w:i/>
        <w:iCs/>
        <w:sz w:val="20"/>
        <w:szCs w:val="20"/>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6">
    <w:nsid w:val="52CA544A"/>
    <w:multiLevelType w:val="singleLevel"/>
    <w:tmpl w:val="987C499A"/>
    <w:lvl w:ilvl="0">
      <w:start w:val="1"/>
      <w:numFmt w:val="decimal"/>
      <w:pStyle w:val="Rf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nsid w:val="58CC5335"/>
    <w:multiLevelType w:val="hybridMultilevel"/>
    <w:tmpl w:val="F218245E"/>
    <w:lvl w:ilvl="0" w:tplc="900A3E3C">
      <w:start w:val="1"/>
      <w:numFmt w:val="decimal"/>
      <w:pStyle w:val="numeroequation"/>
      <w:lvlText w:val="(%1)"/>
      <w:lvlJc w:val="right"/>
      <w:pPr>
        <w:tabs>
          <w:tab w:val="num" w:pos="0"/>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69C8798E"/>
    <w:multiLevelType w:val="multilevel"/>
    <w:tmpl w:val="4B72D708"/>
    <w:lvl w:ilvl="0">
      <w:start w:val="1"/>
      <w:numFmt w:val="upperRoman"/>
      <w:suff w:val="space"/>
      <w:lvlText w:val="%1."/>
      <w:lvlJc w:val="left"/>
      <w:pPr>
        <w:ind w:left="0" w:firstLine="0"/>
      </w:pPr>
      <w:rPr>
        <w:rFonts w:hint="default"/>
      </w:rPr>
    </w:lvl>
    <w:lvl w:ilvl="1">
      <w:start w:val="1"/>
      <w:numFmt w:val="upperLetter"/>
      <w:suff w:val="space"/>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nsid w:val="6C402C58"/>
    <w:multiLevelType w:val="hybridMultilevel"/>
    <w:tmpl w:val="BAAE1B08"/>
    <w:lvl w:ilvl="0" w:tplc="525E7A2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2"/>
  </w:num>
  <w:num w:numId="2">
    <w:abstractNumId w:val="19"/>
  </w:num>
  <w:num w:numId="3">
    <w:abstractNumId w:val="11"/>
  </w:num>
  <w:num w:numId="4">
    <w:abstractNumId w:val="15"/>
  </w:num>
  <w:num w:numId="5">
    <w:abstractNumId w:val="15"/>
  </w:num>
  <w:num w:numId="6">
    <w:abstractNumId w:val="15"/>
  </w:num>
  <w:num w:numId="7">
    <w:abstractNumId w:val="15"/>
  </w:num>
  <w:num w:numId="8">
    <w:abstractNumId w:val="16"/>
  </w:num>
  <w:num w:numId="9">
    <w:abstractNumId w:val="20"/>
  </w:num>
  <w:num w:numId="10">
    <w:abstractNumId w:val="14"/>
  </w:num>
  <w:num w:numId="11">
    <w:abstractNumId w:val="10"/>
  </w:num>
  <w:num w:numId="12">
    <w:abstractNumId w:val="21"/>
  </w:num>
  <w:num w:numId="13">
    <w:abstractNumId w:val="18"/>
  </w:num>
  <w:num w:numId="14">
    <w:abstractNumId w:val="17"/>
  </w:num>
  <w:num w:numId="15">
    <w:abstractNumId w:val="9"/>
  </w:num>
  <w:num w:numId="16">
    <w:abstractNumId w:val="8"/>
  </w:num>
  <w:num w:numId="17">
    <w:abstractNumId w:val="3"/>
  </w:num>
  <w:num w:numId="18">
    <w:abstractNumId w:val="2"/>
  </w:num>
  <w:num w:numId="19">
    <w:abstractNumId w:val="1"/>
  </w:num>
  <w:num w:numId="20">
    <w:abstractNumId w:val="0"/>
  </w:num>
  <w:num w:numId="21">
    <w:abstractNumId w:val="7"/>
  </w:num>
  <w:num w:numId="22">
    <w:abstractNumId w:val="6"/>
  </w:num>
  <w:num w:numId="23">
    <w:abstractNumId w:val="5"/>
  </w:num>
  <w:num w:numId="24">
    <w:abstractNumId w:val="4"/>
  </w:num>
  <w:num w:numId="25">
    <w:abstractNumId w:val="15"/>
  </w:num>
  <w:num w:numId="26">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5"/>
  </w:num>
  <w:num w:numId="29">
    <w:abstractNumId w:val="13"/>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0"/>
  <w:embedSystemFonts/>
  <w:stylePaneFormatFilter w:val="1008"/>
  <w:stylePaneSortMethod w:val="0000"/>
  <w:trackRevisions/>
  <w:defaultTabStop w:val="720"/>
  <w:hyphenationZone w:val="425"/>
  <w:doNotHyphenateCaps/>
  <w:drawingGridHorizontalSpacing w:val="199"/>
  <w:characterSpacingControl w:val="doNotCompress"/>
  <w:doNotValidateAgainstSchema/>
  <w:doNotDemarcateInvalidXml/>
  <w:hdrShapeDefaults>
    <o:shapedefaults v:ext="edit" spidmax="17410"/>
  </w:hdrShapeDefaults>
  <w:footnotePr>
    <w:footnote w:id="0"/>
    <w:footnote w:id="1"/>
  </w:footnotePr>
  <w:endnotePr>
    <w:endnote w:id="0"/>
    <w:endnote w:id="1"/>
  </w:endnotePr>
  <w:compat/>
  <w:rsids>
    <w:rsidRoot w:val="003A59A6"/>
    <w:rsid w:val="0000236A"/>
    <w:rsid w:val="00022418"/>
    <w:rsid w:val="00031C16"/>
    <w:rsid w:val="000325A1"/>
    <w:rsid w:val="0004390D"/>
    <w:rsid w:val="000544D0"/>
    <w:rsid w:val="00056502"/>
    <w:rsid w:val="000730A4"/>
    <w:rsid w:val="00082134"/>
    <w:rsid w:val="0008501E"/>
    <w:rsid w:val="000A7D91"/>
    <w:rsid w:val="000B4641"/>
    <w:rsid w:val="000B543B"/>
    <w:rsid w:val="000C6BDC"/>
    <w:rsid w:val="000E5D16"/>
    <w:rsid w:val="000E6AF2"/>
    <w:rsid w:val="000F0DE7"/>
    <w:rsid w:val="000F6C04"/>
    <w:rsid w:val="00103C7D"/>
    <w:rsid w:val="001056A7"/>
    <w:rsid w:val="0010711E"/>
    <w:rsid w:val="00127EDD"/>
    <w:rsid w:val="001362BF"/>
    <w:rsid w:val="001518CC"/>
    <w:rsid w:val="00186F25"/>
    <w:rsid w:val="0019483A"/>
    <w:rsid w:val="001E110A"/>
    <w:rsid w:val="001E37C3"/>
    <w:rsid w:val="00210BF6"/>
    <w:rsid w:val="002116EE"/>
    <w:rsid w:val="00241E70"/>
    <w:rsid w:val="00250672"/>
    <w:rsid w:val="00276735"/>
    <w:rsid w:val="002864A3"/>
    <w:rsid w:val="00287B5A"/>
    <w:rsid w:val="002A7B11"/>
    <w:rsid w:val="002B3B81"/>
    <w:rsid w:val="002C1D87"/>
    <w:rsid w:val="003049F3"/>
    <w:rsid w:val="0031792D"/>
    <w:rsid w:val="00323067"/>
    <w:rsid w:val="00324D2B"/>
    <w:rsid w:val="0036136F"/>
    <w:rsid w:val="00366AE1"/>
    <w:rsid w:val="003805CA"/>
    <w:rsid w:val="003A47B5"/>
    <w:rsid w:val="003A59A6"/>
    <w:rsid w:val="003D1201"/>
    <w:rsid w:val="003F25F5"/>
    <w:rsid w:val="003F4099"/>
    <w:rsid w:val="004059FE"/>
    <w:rsid w:val="004101AB"/>
    <w:rsid w:val="004445B3"/>
    <w:rsid w:val="00446629"/>
    <w:rsid w:val="0045138F"/>
    <w:rsid w:val="004726D5"/>
    <w:rsid w:val="0048033E"/>
    <w:rsid w:val="0049011A"/>
    <w:rsid w:val="004A7681"/>
    <w:rsid w:val="004C0AC7"/>
    <w:rsid w:val="004D1138"/>
    <w:rsid w:val="004F3C30"/>
    <w:rsid w:val="00524CBC"/>
    <w:rsid w:val="00524F7B"/>
    <w:rsid w:val="00541E4E"/>
    <w:rsid w:val="00552884"/>
    <w:rsid w:val="00566D86"/>
    <w:rsid w:val="005A1FAE"/>
    <w:rsid w:val="005B520E"/>
    <w:rsid w:val="005B535B"/>
    <w:rsid w:val="005C15FF"/>
    <w:rsid w:val="005D5AB1"/>
    <w:rsid w:val="005F39B0"/>
    <w:rsid w:val="006108A4"/>
    <w:rsid w:val="006163D0"/>
    <w:rsid w:val="00616E23"/>
    <w:rsid w:val="00627F39"/>
    <w:rsid w:val="00634B8F"/>
    <w:rsid w:val="006507EE"/>
    <w:rsid w:val="00666AD5"/>
    <w:rsid w:val="0067016E"/>
    <w:rsid w:val="00672605"/>
    <w:rsid w:val="006A775F"/>
    <w:rsid w:val="006B17A0"/>
    <w:rsid w:val="006C4648"/>
    <w:rsid w:val="006D4639"/>
    <w:rsid w:val="006F3654"/>
    <w:rsid w:val="006F6BD9"/>
    <w:rsid w:val="0070617C"/>
    <w:rsid w:val="00713375"/>
    <w:rsid w:val="0072064C"/>
    <w:rsid w:val="0072694C"/>
    <w:rsid w:val="007278C7"/>
    <w:rsid w:val="007442B3"/>
    <w:rsid w:val="00745E97"/>
    <w:rsid w:val="00753F7B"/>
    <w:rsid w:val="00766CBA"/>
    <w:rsid w:val="00784983"/>
    <w:rsid w:val="00784C04"/>
    <w:rsid w:val="00787C5A"/>
    <w:rsid w:val="007919DE"/>
    <w:rsid w:val="007C0308"/>
    <w:rsid w:val="007D3333"/>
    <w:rsid w:val="007F644B"/>
    <w:rsid w:val="007F79F8"/>
    <w:rsid w:val="008014D2"/>
    <w:rsid w:val="008054BC"/>
    <w:rsid w:val="008129FC"/>
    <w:rsid w:val="00867D37"/>
    <w:rsid w:val="00893340"/>
    <w:rsid w:val="008A55B5"/>
    <w:rsid w:val="008A75C8"/>
    <w:rsid w:val="008B0ED1"/>
    <w:rsid w:val="008D1344"/>
    <w:rsid w:val="009072EF"/>
    <w:rsid w:val="0091467D"/>
    <w:rsid w:val="00920861"/>
    <w:rsid w:val="0096699C"/>
    <w:rsid w:val="00972BC8"/>
    <w:rsid w:val="0097508D"/>
    <w:rsid w:val="00982F03"/>
    <w:rsid w:val="0098647E"/>
    <w:rsid w:val="009A04B4"/>
    <w:rsid w:val="009A63E8"/>
    <w:rsid w:val="009C7765"/>
    <w:rsid w:val="00A22791"/>
    <w:rsid w:val="00A41BF0"/>
    <w:rsid w:val="00A50E0A"/>
    <w:rsid w:val="00A510F7"/>
    <w:rsid w:val="00A557AC"/>
    <w:rsid w:val="00A671B3"/>
    <w:rsid w:val="00A70BE9"/>
    <w:rsid w:val="00A75DC0"/>
    <w:rsid w:val="00A80D5D"/>
    <w:rsid w:val="00A85E8D"/>
    <w:rsid w:val="00AB3BED"/>
    <w:rsid w:val="00AC5EF1"/>
    <w:rsid w:val="00AC6519"/>
    <w:rsid w:val="00B214D3"/>
    <w:rsid w:val="00B35D3E"/>
    <w:rsid w:val="00B35E15"/>
    <w:rsid w:val="00B4267C"/>
    <w:rsid w:val="00B50FD5"/>
    <w:rsid w:val="00B7393B"/>
    <w:rsid w:val="00B82C58"/>
    <w:rsid w:val="00B84A79"/>
    <w:rsid w:val="00BF1BD3"/>
    <w:rsid w:val="00BF35E3"/>
    <w:rsid w:val="00BF408C"/>
    <w:rsid w:val="00BF4BBA"/>
    <w:rsid w:val="00C15526"/>
    <w:rsid w:val="00C15906"/>
    <w:rsid w:val="00C32E83"/>
    <w:rsid w:val="00C378D3"/>
    <w:rsid w:val="00C61B4F"/>
    <w:rsid w:val="00C63199"/>
    <w:rsid w:val="00C90658"/>
    <w:rsid w:val="00CB66E6"/>
    <w:rsid w:val="00CE352B"/>
    <w:rsid w:val="00CE4CA5"/>
    <w:rsid w:val="00CF26A0"/>
    <w:rsid w:val="00D340E6"/>
    <w:rsid w:val="00D7508D"/>
    <w:rsid w:val="00D9156D"/>
    <w:rsid w:val="00DA2BC2"/>
    <w:rsid w:val="00DA6B74"/>
    <w:rsid w:val="00DC50D5"/>
    <w:rsid w:val="00DE4448"/>
    <w:rsid w:val="00E01ADA"/>
    <w:rsid w:val="00E11285"/>
    <w:rsid w:val="00E2156B"/>
    <w:rsid w:val="00E236FC"/>
    <w:rsid w:val="00E35D43"/>
    <w:rsid w:val="00E35D8E"/>
    <w:rsid w:val="00E44E66"/>
    <w:rsid w:val="00E45225"/>
    <w:rsid w:val="00E5142B"/>
    <w:rsid w:val="00E609FD"/>
    <w:rsid w:val="00E60B33"/>
    <w:rsid w:val="00E82A20"/>
    <w:rsid w:val="00E91219"/>
    <w:rsid w:val="00EA506F"/>
    <w:rsid w:val="00EC1E1D"/>
    <w:rsid w:val="00EC2220"/>
    <w:rsid w:val="00EE4362"/>
    <w:rsid w:val="00EF18D7"/>
    <w:rsid w:val="00EF1E8A"/>
    <w:rsid w:val="00EF3A1A"/>
    <w:rsid w:val="00F26F5E"/>
    <w:rsid w:val="00F34C76"/>
    <w:rsid w:val="00F44A83"/>
    <w:rsid w:val="00F67897"/>
    <w:rsid w:val="00F722E1"/>
    <w:rsid w:val="00F844BE"/>
    <w:rsid w:val="00FA7604"/>
    <w:rsid w:val="00FC0350"/>
    <w:rsid w:val="00FC4009"/>
    <w:rsid w:val="00FC5A2B"/>
    <w:rsid w:val="00FD546C"/>
    <w:rsid w:val="00FE24C8"/>
    <w:rsid w:val="00FE48B5"/>
    <w:rsid w:val="00FF28C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CBC"/>
    <w:pPr>
      <w:tabs>
        <w:tab w:val="left" w:pos="288"/>
      </w:tabs>
      <w:spacing w:after="120" w:line="228" w:lineRule="auto"/>
      <w:ind w:firstLine="288"/>
      <w:jc w:val="both"/>
    </w:pPr>
    <w:rPr>
      <w:rFonts w:ascii="Times New Roman" w:eastAsia="MS Mincho" w:hAnsi="Times New Roman"/>
      <w:spacing w:val="-1"/>
      <w:lang w:eastAsia="en-US"/>
    </w:rPr>
  </w:style>
  <w:style w:type="paragraph" w:styleId="Titre1">
    <w:name w:val="heading 1"/>
    <w:next w:val="Normal"/>
    <w:link w:val="Titre1Car"/>
    <w:qFormat/>
    <w:rsid w:val="00524CBC"/>
    <w:pPr>
      <w:keepLines/>
      <w:numPr>
        <w:numId w:val="4"/>
      </w:numPr>
      <w:tabs>
        <w:tab w:val="left" w:pos="216"/>
      </w:tabs>
      <w:spacing w:before="160" w:after="80"/>
      <w:jc w:val="both"/>
      <w:outlineLvl w:val="0"/>
    </w:pPr>
    <w:rPr>
      <w:rFonts w:ascii="Times New Roman" w:hAnsi="Times New Roman"/>
      <w:smallCaps/>
      <w:noProof/>
      <w:lang w:eastAsia="en-US"/>
    </w:rPr>
  </w:style>
  <w:style w:type="paragraph" w:styleId="Titre2">
    <w:name w:val="heading 2"/>
    <w:next w:val="Normal"/>
    <w:link w:val="Titre2Car"/>
    <w:uiPriority w:val="99"/>
    <w:qFormat/>
    <w:rsid w:val="0098647E"/>
    <w:pPr>
      <w:keepNext/>
      <w:keepLines/>
      <w:numPr>
        <w:ilvl w:val="1"/>
        <w:numId w:val="4"/>
      </w:numPr>
      <w:spacing w:before="120" w:after="60"/>
      <w:outlineLvl w:val="1"/>
    </w:pPr>
    <w:rPr>
      <w:rFonts w:ascii="Times New Roman" w:eastAsia="MS Mincho" w:hAnsi="Times New Roman"/>
      <w:i/>
      <w:iCs/>
      <w:noProof/>
      <w:lang w:val="en-US" w:eastAsia="en-US"/>
    </w:rPr>
  </w:style>
  <w:style w:type="paragraph" w:styleId="Titre3">
    <w:name w:val="heading 3"/>
    <w:next w:val="Normal"/>
    <w:link w:val="Titre3Car"/>
    <w:qFormat/>
    <w:rsid w:val="00524CBC"/>
    <w:pPr>
      <w:numPr>
        <w:ilvl w:val="2"/>
        <w:numId w:val="4"/>
      </w:numPr>
      <w:spacing w:before="120" w:after="60" w:line="240" w:lineRule="exact"/>
      <w:jc w:val="both"/>
      <w:outlineLvl w:val="2"/>
    </w:pPr>
    <w:rPr>
      <w:rFonts w:ascii="Times New Roman" w:eastAsia="MS Mincho" w:hAnsi="Times New Roman"/>
      <w:i/>
      <w:iCs/>
      <w:noProof/>
      <w:lang w:val="en-US" w:eastAsia="en-US"/>
    </w:rPr>
  </w:style>
  <w:style w:type="paragraph" w:styleId="Titre4">
    <w:name w:val="heading 4"/>
    <w:basedOn w:val="Normal"/>
    <w:next w:val="Normal"/>
    <w:link w:val="Titre4Car"/>
    <w:qFormat/>
    <w:rsid w:val="004059FE"/>
    <w:pPr>
      <w:numPr>
        <w:ilvl w:val="3"/>
        <w:numId w:val="4"/>
      </w:numPr>
      <w:tabs>
        <w:tab w:val="left" w:pos="821"/>
      </w:tabs>
      <w:spacing w:before="40" w:after="40"/>
      <w:outlineLvl w:val="3"/>
    </w:pPr>
    <w:rPr>
      <w:i/>
      <w:iCs/>
      <w:noProof/>
    </w:rPr>
  </w:style>
  <w:style w:type="paragraph" w:styleId="Titre5">
    <w:name w:val="heading 5"/>
    <w:basedOn w:val="Normal"/>
    <w:next w:val="Normal"/>
    <w:link w:val="Titre5Car"/>
    <w:qFormat/>
    <w:rsid w:val="00AB3BED"/>
    <w:pPr>
      <w:numPr>
        <w:ilvl w:val="4"/>
        <w:numId w:val="4"/>
      </w:numPr>
      <w:tabs>
        <w:tab w:val="left" w:pos="360"/>
      </w:tabs>
      <w:spacing w:before="160" w:after="80"/>
      <w:outlineLvl w:val="4"/>
    </w:pPr>
    <w:rPr>
      <w:smallCaps/>
      <w:noProof/>
    </w:rPr>
  </w:style>
  <w:style w:type="paragraph" w:styleId="Titre6">
    <w:name w:val="heading 6"/>
    <w:basedOn w:val="Normal"/>
    <w:next w:val="Normal"/>
    <w:link w:val="Titre6Car"/>
    <w:unhideWhenUsed/>
    <w:qFormat/>
    <w:rsid w:val="00D340E6"/>
    <w:pPr>
      <w:keepNext/>
      <w:keepLines/>
      <w:numPr>
        <w:ilvl w:val="5"/>
        <w:numId w:val="4"/>
      </w:numPr>
      <w:spacing w:before="200"/>
      <w:outlineLvl w:val="5"/>
    </w:pPr>
    <w:rPr>
      <w:rFonts w:asciiTheme="majorHAnsi" w:eastAsiaTheme="majorEastAsia" w:hAnsiTheme="majorHAnsi" w:cstheme="majorBidi"/>
      <w:i/>
      <w:iCs/>
      <w:color w:val="243F60" w:themeColor="accent1" w:themeShade="7F"/>
      <w:szCs w:val="22"/>
    </w:rPr>
  </w:style>
  <w:style w:type="paragraph" w:styleId="Titre7">
    <w:name w:val="heading 7"/>
    <w:basedOn w:val="Normal"/>
    <w:next w:val="Normal"/>
    <w:link w:val="Titre7Car"/>
    <w:unhideWhenUsed/>
    <w:qFormat/>
    <w:rsid w:val="00D340E6"/>
    <w:pPr>
      <w:keepNext/>
      <w:keepLines/>
      <w:numPr>
        <w:ilvl w:val="6"/>
        <w:numId w:val="4"/>
      </w:numPr>
      <w:spacing w:before="200"/>
      <w:outlineLvl w:val="6"/>
    </w:pPr>
    <w:rPr>
      <w:rFonts w:asciiTheme="majorHAnsi" w:eastAsiaTheme="majorEastAsia" w:hAnsiTheme="majorHAnsi" w:cstheme="majorBidi"/>
      <w:i/>
      <w:iCs/>
      <w:color w:val="404040" w:themeColor="text1" w:themeTint="BF"/>
      <w:szCs w:val="22"/>
    </w:rPr>
  </w:style>
  <w:style w:type="paragraph" w:styleId="Titre8">
    <w:name w:val="heading 8"/>
    <w:basedOn w:val="Normal"/>
    <w:next w:val="Normal"/>
    <w:link w:val="Titre8Car"/>
    <w:unhideWhenUsed/>
    <w:qFormat/>
    <w:rsid w:val="00D340E6"/>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nhideWhenUsed/>
    <w:qFormat/>
    <w:rsid w:val="00D340E6"/>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524CBC"/>
    <w:rPr>
      <w:rFonts w:ascii="Times New Roman" w:hAnsi="Times New Roman"/>
      <w:smallCaps/>
      <w:noProof/>
      <w:lang w:eastAsia="en-US"/>
    </w:rPr>
  </w:style>
  <w:style w:type="character" w:customStyle="1" w:styleId="Titre2Car">
    <w:name w:val="Titre 2 Car"/>
    <w:basedOn w:val="Policepardfaut"/>
    <w:link w:val="Titre2"/>
    <w:uiPriority w:val="99"/>
    <w:locked/>
    <w:rsid w:val="0098647E"/>
    <w:rPr>
      <w:rFonts w:ascii="Times New Roman" w:eastAsia="MS Mincho" w:hAnsi="Times New Roman"/>
      <w:i/>
      <w:iCs/>
      <w:noProof/>
      <w:lang w:val="en-US" w:eastAsia="en-US"/>
    </w:rPr>
  </w:style>
  <w:style w:type="character" w:customStyle="1" w:styleId="Titre3Car">
    <w:name w:val="Titre 3 Car"/>
    <w:basedOn w:val="Policepardfaut"/>
    <w:link w:val="Titre3"/>
    <w:locked/>
    <w:rsid w:val="00524CBC"/>
    <w:rPr>
      <w:rFonts w:ascii="Times New Roman" w:eastAsia="MS Mincho" w:hAnsi="Times New Roman"/>
      <w:i/>
      <w:iCs/>
      <w:noProof/>
      <w:lang w:val="en-US" w:eastAsia="en-US"/>
    </w:rPr>
  </w:style>
  <w:style w:type="character" w:customStyle="1" w:styleId="Titre4Car">
    <w:name w:val="Titre 4 Car"/>
    <w:basedOn w:val="Policepardfaut"/>
    <w:link w:val="Titre4"/>
    <w:locked/>
    <w:rsid w:val="004059FE"/>
    <w:rPr>
      <w:rFonts w:ascii="Times New Roman" w:eastAsia="MS Mincho" w:hAnsi="Times New Roman"/>
      <w:i/>
      <w:iCs/>
      <w:noProof/>
      <w:spacing w:val="-1"/>
      <w:lang w:eastAsia="en-US"/>
    </w:rPr>
  </w:style>
  <w:style w:type="character" w:customStyle="1" w:styleId="Titre5Car">
    <w:name w:val="Titre 5 Car"/>
    <w:basedOn w:val="Policepardfaut"/>
    <w:link w:val="Titre5"/>
    <w:locked/>
    <w:rsid w:val="00AB3BED"/>
    <w:rPr>
      <w:rFonts w:ascii="Times New Roman" w:eastAsia="MS Mincho" w:hAnsi="Times New Roman"/>
      <w:smallCaps/>
      <w:noProof/>
      <w:spacing w:val="-1"/>
      <w:lang w:eastAsia="en-US"/>
    </w:rPr>
  </w:style>
  <w:style w:type="paragraph" w:customStyle="1" w:styleId="Rsum">
    <w:name w:val="Résumé"/>
    <w:uiPriority w:val="99"/>
    <w:rsid w:val="00287B5A"/>
    <w:pPr>
      <w:spacing w:after="200"/>
      <w:ind w:firstLine="274"/>
      <w:jc w:val="both"/>
    </w:pPr>
    <w:rPr>
      <w:rFonts w:ascii="Times New Roman" w:hAnsi="Times New Roman"/>
      <w:b/>
      <w:bCs/>
      <w:sz w:val="18"/>
      <w:szCs w:val="18"/>
      <w:lang w:eastAsia="en-US"/>
    </w:rPr>
  </w:style>
  <w:style w:type="paragraph" w:customStyle="1" w:styleId="Affiliation">
    <w:name w:val="Affiliation"/>
    <w:uiPriority w:val="99"/>
    <w:rsid w:val="008129FC"/>
    <w:pPr>
      <w:spacing w:after="480"/>
      <w:jc w:val="center"/>
    </w:pPr>
    <w:rPr>
      <w:rFonts w:ascii="Times New Roman" w:hAnsi="Times New Roman"/>
      <w:lang w:eastAsia="en-US"/>
    </w:rPr>
  </w:style>
  <w:style w:type="paragraph" w:customStyle="1" w:styleId="Nom">
    <w:name w:val="Nom"/>
    <w:uiPriority w:val="99"/>
    <w:rsid w:val="00287B5A"/>
    <w:pPr>
      <w:spacing w:before="360" w:after="40"/>
      <w:jc w:val="center"/>
    </w:pPr>
    <w:rPr>
      <w:rFonts w:ascii="Times New Roman" w:hAnsi="Times New Roman"/>
      <w:noProof/>
      <w:sz w:val="22"/>
      <w:szCs w:val="22"/>
      <w:lang w:eastAsia="en-US"/>
    </w:rPr>
  </w:style>
  <w:style w:type="paragraph" w:styleId="Corpsdetexte">
    <w:name w:val="Body Text"/>
    <w:basedOn w:val="Normal"/>
    <w:link w:val="CorpsdetexteCar"/>
    <w:uiPriority w:val="99"/>
    <w:rsid w:val="00753F7B"/>
  </w:style>
  <w:style w:type="character" w:customStyle="1" w:styleId="CorpsdetexteCar">
    <w:name w:val="Corps de texte Car"/>
    <w:basedOn w:val="Policepardfaut"/>
    <w:link w:val="Corpsdetexte"/>
    <w:uiPriority w:val="99"/>
    <w:locked/>
    <w:rsid w:val="00753F7B"/>
    <w:rPr>
      <w:rFonts w:ascii="Times New Roman" w:eastAsia="MS Mincho" w:hAnsi="Times New Roman" w:cs="Times New Roman"/>
      <w:sz w:val="20"/>
      <w:szCs w:val="20"/>
    </w:rPr>
  </w:style>
  <w:style w:type="paragraph" w:customStyle="1" w:styleId="bulletlist">
    <w:name w:val="bullet list"/>
    <w:basedOn w:val="Corpsdetexte"/>
    <w:rsid w:val="00524F7B"/>
    <w:pPr>
      <w:numPr>
        <w:numId w:val="1"/>
      </w:numPr>
      <w:tabs>
        <w:tab w:val="clear" w:pos="648"/>
      </w:tabs>
      <w:ind w:left="578" w:hanging="289"/>
      <w:contextualSpacing/>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titredesfigures">
    <w:name w:val="titre des figures"/>
    <w:rsid w:val="00E609FD"/>
    <w:pPr>
      <w:tabs>
        <w:tab w:val="left" w:pos="533"/>
      </w:tabs>
      <w:spacing w:before="80" w:after="200"/>
      <w:jc w:val="center"/>
    </w:pPr>
    <w:rPr>
      <w:rFonts w:ascii="Times New Roman" w:hAnsi="Times New Roman"/>
      <w:noProof/>
      <w:sz w:val="16"/>
      <w:szCs w:val="16"/>
      <w:lang w:val="en-US" w:eastAsia="en-US"/>
    </w:rPr>
  </w:style>
  <w:style w:type="paragraph" w:customStyle="1" w:styleId="footnote">
    <w:name w:val="footnote"/>
    <w:uiPriority w:val="99"/>
    <w:rsid w:val="00AB3BED"/>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Mots-cls">
    <w:name w:val="Mots-clés"/>
    <w:uiPriority w:val="99"/>
    <w:rsid w:val="00A557AC"/>
    <w:pPr>
      <w:spacing w:after="120"/>
      <w:ind w:firstLine="272"/>
      <w:jc w:val="both"/>
    </w:pPr>
    <w:rPr>
      <w:rFonts w:ascii="Times New Roman" w:hAnsi="Times New Roman"/>
      <w:b/>
      <w:bCs/>
      <w:i/>
      <w:iCs/>
      <w:noProof/>
      <w:sz w:val="18"/>
      <w:szCs w:val="18"/>
      <w:lang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Numrodquation">
    <w:name w:val="Numéro d'équation"/>
    <w:rsid w:val="00FA7604"/>
    <w:pPr>
      <w:tabs>
        <w:tab w:val="num" w:pos="0"/>
      </w:tabs>
      <w:jc w:val="right"/>
    </w:pPr>
    <w:rPr>
      <w:rFonts w:ascii="Times New Roman" w:hAnsi="Times New Roman"/>
      <w:color w:val="000000"/>
    </w:rPr>
  </w:style>
  <w:style w:type="paragraph" w:customStyle="1" w:styleId="Rfrences">
    <w:name w:val="Références"/>
    <w:uiPriority w:val="99"/>
    <w:rsid w:val="008129FC"/>
    <w:pPr>
      <w:numPr>
        <w:numId w:val="8"/>
      </w:numPr>
      <w:spacing w:after="50" w:line="180" w:lineRule="exact"/>
      <w:jc w:val="both"/>
    </w:pPr>
    <w:rPr>
      <w:rFonts w:ascii="Times New Roman" w:hAnsi="Times New Roman"/>
      <w:noProof/>
      <w:sz w:val="16"/>
      <w:szCs w:val="16"/>
      <w:lang w:eastAsia="en-US"/>
    </w:rPr>
  </w:style>
  <w:style w:type="paragraph" w:customStyle="1" w:styleId="sponsors">
    <w:name w:val="sponsors"/>
    <w:rsid w:val="00AB3BED"/>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itrecolonnestableaux">
    <w:name w:val="Titre colonnes tableaux"/>
    <w:uiPriority w:val="99"/>
    <w:rsid w:val="00524CBC"/>
    <w:rPr>
      <w:rFonts w:ascii="Times New Roman" w:eastAsia="MS Mincho" w:hAnsi="Times New Roman"/>
      <w:b/>
      <w:bCs/>
      <w:spacing w:val="-1"/>
      <w:sz w:val="16"/>
      <w:szCs w:val="16"/>
      <w:lang w:eastAsia="en-US"/>
    </w:rPr>
  </w:style>
  <w:style w:type="paragraph" w:customStyle="1" w:styleId="tablecolsubhead">
    <w:name w:val="table col subhead"/>
    <w:basedOn w:val="Titrecolonnestableaux"/>
    <w:uiPriority w:val="99"/>
    <w:rsid w:val="00AB3BED"/>
    <w:rPr>
      <w:i/>
      <w:iCs/>
      <w:sz w:val="15"/>
      <w:szCs w:val="15"/>
    </w:rPr>
  </w:style>
  <w:style w:type="paragraph" w:customStyle="1" w:styleId="Cellulestableaux">
    <w:name w:val="Cellules tableaux"/>
    <w:uiPriority w:val="99"/>
    <w:rsid w:val="00524CBC"/>
    <w:pPr>
      <w:contextualSpacing/>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rsid w:val="00E11285"/>
    <w:pPr>
      <w:spacing w:before="240" w:after="120" w:line="216" w:lineRule="auto"/>
      <w:jc w:val="center"/>
    </w:pPr>
    <w:rPr>
      <w:rFonts w:ascii="Times New Roman" w:hAnsi="Times New Roman"/>
      <w:smallCaps/>
      <w:noProof/>
      <w:sz w:val="16"/>
      <w:szCs w:val="16"/>
      <w:lang w:val="en-US" w:eastAsia="en-US"/>
    </w:rPr>
  </w:style>
  <w:style w:type="character" w:styleId="Lienhypertexte">
    <w:name w:val="Hyperlink"/>
    <w:basedOn w:val="Policepardfaut"/>
    <w:uiPriority w:val="99"/>
    <w:unhideWhenUsed/>
    <w:rsid w:val="00E82A20"/>
    <w:rPr>
      <w:color w:val="0000FF" w:themeColor="hyperlink"/>
      <w:u w:val="single"/>
    </w:rPr>
  </w:style>
  <w:style w:type="paragraph" w:customStyle="1" w:styleId="Legend">
    <w:name w:val="Legend"/>
    <w:basedOn w:val="Normal"/>
    <w:rsid w:val="00EC2220"/>
    <w:pPr>
      <w:spacing w:before="100" w:after="100"/>
    </w:pPr>
    <w:rPr>
      <w:rFonts w:eastAsiaTheme="minorHAnsi" w:cstheme="minorBidi"/>
      <w:sz w:val="16"/>
      <w:szCs w:val="16"/>
    </w:rPr>
  </w:style>
  <w:style w:type="paragraph" w:customStyle="1" w:styleId="Images">
    <w:name w:val="Images"/>
    <w:qFormat/>
    <w:rsid w:val="0098647E"/>
    <w:pPr>
      <w:spacing w:before="100"/>
      <w:jc w:val="center"/>
    </w:pPr>
    <w:rPr>
      <w:rFonts w:asciiTheme="majorBidi" w:eastAsiaTheme="minorHAnsi" w:hAnsiTheme="majorBidi" w:cstheme="majorBidi"/>
      <w:noProof/>
      <w:lang w:val="en-US"/>
    </w:rPr>
  </w:style>
  <w:style w:type="paragraph" w:styleId="Textedebulles">
    <w:name w:val="Balloon Text"/>
    <w:basedOn w:val="Normal"/>
    <w:link w:val="TextedebullesCar"/>
    <w:uiPriority w:val="99"/>
    <w:semiHidden/>
    <w:unhideWhenUsed/>
    <w:rsid w:val="00EC2220"/>
    <w:rPr>
      <w:rFonts w:ascii="Tahoma" w:hAnsi="Tahoma" w:cs="Tahoma"/>
      <w:sz w:val="16"/>
      <w:szCs w:val="16"/>
    </w:rPr>
  </w:style>
  <w:style w:type="character" w:customStyle="1" w:styleId="TextedebullesCar">
    <w:name w:val="Texte de bulles Car"/>
    <w:basedOn w:val="Policepardfaut"/>
    <w:link w:val="Textedebulles"/>
    <w:uiPriority w:val="99"/>
    <w:semiHidden/>
    <w:rsid w:val="00EC2220"/>
    <w:rPr>
      <w:rFonts w:ascii="Tahoma" w:hAnsi="Tahoma" w:cs="Tahoma"/>
      <w:sz w:val="16"/>
      <w:szCs w:val="16"/>
      <w:lang w:val="en-US" w:eastAsia="en-US"/>
    </w:rPr>
  </w:style>
  <w:style w:type="paragraph" w:customStyle="1" w:styleId="Textetableaugauche">
    <w:name w:val="Texte tableau gauche"/>
    <w:basedOn w:val="Normal"/>
    <w:rsid w:val="00D340E6"/>
    <w:pPr>
      <w:spacing w:before="100"/>
      <w:jc w:val="left"/>
    </w:pPr>
    <w:rPr>
      <w:rFonts w:eastAsia="Batang"/>
      <w:szCs w:val="16"/>
    </w:rPr>
  </w:style>
  <w:style w:type="paragraph" w:customStyle="1" w:styleId="Titretableau">
    <w:name w:val="Titre tableau"/>
    <w:basedOn w:val="Textetableaugauche"/>
    <w:qFormat/>
    <w:rsid w:val="00D340E6"/>
    <w:rPr>
      <w:rFonts w:asciiTheme="majorBidi" w:hAnsiTheme="majorBidi" w:cstheme="majorBidi"/>
      <w:b/>
      <w:szCs w:val="20"/>
    </w:rPr>
  </w:style>
  <w:style w:type="character" w:customStyle="1" w:styleId="Titre6Car">
    <w:name w:val="Titre 6 Car"/>
    <w:basedOn w:val="Policepardfaut"/>
    <w:link w:val="Titre6"/>
    <w:rsid w:val="00D340E6"/>
    <w:rPr>
      <w:rFonts w:asciiTheme="majorHAnsi" w:eastAsiaTheme="majorEastAsia" w:hAnsiTheme="majorHAnsi" w:cstheme="majorBidi"/>
      <w:i/>
      <w:iCs/>
      <w:color w:val="243F60" w:themeColor="accent1" w:themeShade="7F"/>
      <w:spacing w:val="-1"/>
      <w:szCs w:val="22"/>
      <w:lang w:eastAsia="en-US"/>
    </w:rPr>
  </w:style>
  <w:style w:type="character" w:customStyle="1" w:styleId="Titre7Car">
    <w:name w:val="Titre 7 Car"/>
    <w:basedOn w:val="Policepardfaut"/>
    <w:link w:val="Titre7"/>
    <w:rsid w:val="00D340E6"/>
    <w:rPr>
      <w:rFonts w:asciiTheme="majorHAnsi" w:eastAsiaTheme="majorEastAsia" w:hAnsiTheme="majorHAnsi" w:cstheme="majorBidi"/>
      <w:i/>
      <w:iCs/>
      <w:color w:val="404040" w:themeColor="text1" w:themeTint="BF"/>
      <w:spacing w:val="-1"/>
      <w:szCs w:val="22"/>
      <w:lang w:eastAsia="en-US"/>
    </w:rPr>
  </w:style>
  <w:style w:type="character" w:customStyle="1" w:styleId="Titre8Car">
    <w:name w:val="Titre 8 Car"/>
    <w:basedOn w:val="Policepardfaut"/>
    <w:link w:val="Titre8"/>
    <w:rsid w:val="00D340E6"/>
    <w:rPr>
      <w:rFonts w:asciiTheme="majorHAnsi" w:eastAsiaTheme="majorEastAsia" w:hAnsiTheme="majorHAnsi" w:cstheme="majorBidi"/>
      <w:color w:val="404040" w:themeColor="text1" w:themeTint="BF"/>
      <w:spacing w:val="-1"/>
      <w:lang w:eastAsia="en-US"/>
    </w:rPr>
  </w:style>
  <w:style w:type="character" w:customStyle="1" w:styleId="Titre9Car">
    <w:name w:val="Titre 9 Car"/>
    <w:basedOn w:val="Policepardfaut"/>
    <w:link w:val="Titre9"/>
    <w:rsid w:val="00D340E6"/>
    <w:rPr>
      <w:rFonts w:asciiTheme="majorHAnsi" w:eastAsiaTheme="majorEastAsia" w:hAnsiTheme="majorHAnsi" w:cstheme="majorBidi"/>
      <w:i/>
      <w:iCs/>
      <w:color w:val="404040" w:themeColor="text1" w:themeTint="BF"/>
      <w:spacing w:val="-1"/>
      <w:lang w:eastAsia="en-US"/>
    </w:rPr>
  </w:style>
  <w:style w:type="table" w:styleId="Grilledutableau">
    <w:name w:val="Table Grid"/>
    <w:basedOn w:val="TableauNormal"/>
    <w:uiPriority w:val="59"/>
    <w:rsid w:val="00D340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eroequation">
    <w:name w:val="numero_equation"/>
    <w:link w:val="numeroequationCar"/>
    <w:rsid w:val="00D340E6"/>
    <w:pPr>
      <w:numPr>
        <w:numId w:val="14"/>
      </w:numPr>
      <w:jc w:val="right"/>
    </w:pPr>
    <w:rPr>
      <w:rFonts w:ascii="Times New Roman" w:hAnsi="Times New Roman"/>
      <w:color w:val="000000"/>
    </w:rPr>
  </w:style>
  <w:style w:type="character" w:customStyle="1" w:styleId="numeroequationCar">
    <w:name w:val="numero_equation Car"/>
    <w:basedOn w:val="Policepardfaut"/>
    <w:link w:val="numeroequation"/>
    <w:rsid w:val="00D340E6"/>
    <w:rPr>
      <w:rFonts w:ascii="Times New Roman" w:hAnsi="Times New Roman"/>
      <w:color w:val="000000"/>
    </w:rPr>
  </w:style>
  <w:style w:type="paragraph" w:styleId="Listepuces">
    <w:name w:val="List Bullet"/>
    <w:basedOn w:val="Normal"/>
    <w:uiPriority w:val="99"/>
    <w:unhideWhenUsed/>
    <w:rsid w:val="00D340E6"/>
    <w:pPr>
      <w:numPr>
        <w:numId w:val="15"/>
      </w:numPr>
      <w:spacing w:before="100"/>
      <w:ind w:left="357" w:hanging="357"/>
      <w:contextualSpacing/>
      <w:jc w:val="left"/>
    </w:pPr>
    <w:rPr>
      <w:rFonts w:eastAsia="Batang"/>
    </w:rPr>
  </w:style>
  <w:style w:type="paragraph" w:customStyle="1" w:styleId="Equation0">
    <w:name w:val="Equation"/>
    <w:next w:val="Normal"/>
    <w:rsid w:val="0098647E"/>
    <w:pPr>
      <w:widowControl w:val="0"/>
      <w:tabs>
        <w:tab w:val="right" w:pos="5040"/>
      </w:tabs>
      <w:jc w:val="center"/>
    </w:pPr>
    <w:rPr>
      <w:rFonts w:ascii="Times New Roman" w:eastAsia="Batang" w:hAnsi="Times New Roman"/>
      <w:lang w:val="en-US" w:eastAsia="en-US"/>
    </w:rPr>
  </w:style>
  <w:style w:type="paragraph" w:customStyle="1" w:styleId="Text">
    <w:name w:val="Text"/>
    <w:basedOn w:val="Normal"/>
    <w:rsid w:val="00D340E6"/>
    <w:pPr>
      <w:widowControl w:val="0"/>
      <w:spacing w:before="100" w:line="252" w:lineRule="auto"/>
      <w:ind w:firstLine="202"/>
    </w:pPr>
    <w:rPr>
      <w:rFonts w:eastAsia="Batang"/>
    </w:rPr>
  </w:style>
  <w:style w:type="paragraph" w:customStyle="1" w:styleId="Style1">
    <w:name w:val="Style1"/>
    <w:basedOn w:val="numeroequation"/>
    <w:link w:val="Style1Car"/>
    <w:qFormat/>
    <w:rsid w:val="00D340E6"/>
    <w:pPr>
      <w:numPr>
        <w:numId w:val="0"/>
      </w:numPr>
      <w:tabs>
        <w:tab w:val="num" w:pos="576"/>
      </w:tabs>
    </w:pPr>
  </w:style>
  <w:style w:type="character" w:customStyle="1" w:styleId="Style1Car">
    <w:name w:val="Style1 Car"/>
    <w:basedOn w:val="numeroequationCar"/>
    <w:link w:val="Style1"/>
    <w:rsid w:val="00D340E6"/>
    <w:rPr>
      <w:rFonts w:ascii="Times New Roman" w:hAnsi="Times New Roman"/>
      <w:color w:val="000000"/>
    </w:rPr>
  </w:style>
  <w:style w:type="paragraph" w:customStyle="1" w:styleId="subfigurecaption">
    <w:name w:val="sub figure caption"/>
    <w:basedOn w:val="titredesfigures"/>
    <w:rsid w:val="0091467D"/>
  </w:style>
  <w:style w:type="paragraph" w:customStyle="1" w:styleId="tablecopybold">
    <w:name w:val="table copy bold"/>
    <w:basedOn w:val="Cellulestableaux"/>
    <w:qFormat/>
    <w:rsid w:val="0091467D"/>
    <w:rPr>
      <w:b/>
    </w:rPr>
  </w:style>
  <w:style w:type="paragraph" w:styleId="Lgende">
    <w:name w:val="caption"/>
    <w:next w:val="Normal"/>
    <w:uiPriority w:val="35"/>
    <w:unhideWhenUsed/>
    <w:qFormat/>
    <w:rsid w:val="00A75DC0"/>
    <w:pPr>
      <w:spacing w:before="120" w:after="120"/>
    </w:pPr>
    <w:rPr>
      <w:rFonts w:ascii="Times New Roman" w:hAnsi="Times New Roman"/>
      <w:noProof/>
      <w:sz w:val="16"/>
      <w:szCs w:val="16"/>
      <w:lang w:val="en-US" w:eastAsia="en-US"/>
    </w:rPr>
  </w:style>
  <w:style w:type="paragraph" w:styleId="Titre">
    <w:name w:val="Title"/>
    <w:next w:val="Normal"/>
    <w:link w:val="TitreCar"/>
    <w:uiPriority w:val="10"/>
    <w:qFormat/>
    <w:rsid w:val="0098647E"/>
    <w:pPr>
      <w:spacing w:after="120"/>
      <w:jc w:val="center"/>
    </w:pPr>
    <w:rPr>
      <w:rFonts w:ascii="Times New Roman" w:eastAsia="MS Mincho" w:hAnsi="Times New Roman"/>
      <w:bCs/>
      <w:noProof/>
      <w:sz w:val="48"/>
      <w:szCs w:val="48"/>
      <w:lang w:eastAsia="en-US"/>
    </w:rPr>
  </w:style>
  <w:style w:type="character" w:customStyle="1" w:styleId="TitreCar">
    <w:name w:val="Titre Car"/>
    <w:basedOn w:val="Policepardfaut"/>
    <w:link w:val="Titre"/>
    <w:uiPriority w:val="10"/>
    <w:rsid w:val="0098647E"/>
    <w:rPr>
      <w:rFonts w:ascii="Times New Roman" w:eastAsia="MS Mincho" w:hAnsi="Times New Roman"/>
      <w:bCs/>
      <w:noProof/>
      <w:sz w:val="48"/>
      <w:szCs w:val="48"/>
      <w:lang w:eastAsia="en-US"/>
    </w:rPr>
  </w:style>
  <w:style w:type="paragraph" w:customStyle="1" w:styleId="LogoSGE">
    <w:name w:val="Logo SGE"/>
    <w:basedOn w:val="Normal"/>
    <w:rsid w:val="008129FC"/>
    <w:pPr>
      <w:tabs>
        <w:tab w:val="clear" w:pos="288"/>
      </w:tabs>
      <w:spacing w:line="240" w:lineRule="auto"/>
      <w:ind w:firstLine="0"/>
      <w:jc w:val="right"/>
    </w:pPr>
    <w:rPr>
      <w:rFonts w:eastAsia="Times New Roman"/>
      <w:spacing w:val="0"/>
    </w:rPr>
  </w:style>
  <w:style w:type="paragraph" w:styleId="En-tte">
    <w:name w:val="header"/>
    <w:basedOn w:val="Normal"/>
    <w:link w:val="En-tteCar"/>
    <w:uiPriority w:val="99"/>
    <w:unhideWhenUsed/>
    <w:rsid w:val="00022418"/>
    <w:pPr>
      <w:tabs>
        <w:tab w:val="clear" w:pos="288"/>
        <w:tab w:val="center" w:pos="4703"/>
        <w:tab w:val="right" w:pos="9406"/>
      </w:tabs>
      <w:spacing w:after="0" w:line="240" w:lineRule="auto"/>
    </w:pPr>
    <w:rPr>
      <w:caps/>
    </w:rPr>
  </w:style>
  <w:style w:type="character" w:customStyle="1" w:styleId="En-tteCar">
    <w:name w:val="En-tête Car"/>
    <w:basedOn w:val="Policepardfaut"/>
    <w:link w:val="En-tte"/>
    <w:uiPriority w:val="99"/>
    <w:rsid w:val="00022418"/>
    <w:rPr>
      <w:rFonts w:ascii="Times New Roman" w:eastAsia="MS Mincho" w:hAnsi="Times New Roman"/>
      <w:caps/>
      <w:spacing w:val="-1"/>
      <w:lang w:eastAsia="en-US"/>
    </w:rPr>
  </w:style>
  <w:style w:type="paragraph" w:styleId="Pieddepage">
    <w:name w:val="footer"/>
    <w:basedOn w:val="Normal"/>
    <w:link w:val="PieddepageCar"/>
    <w:uiPriority w:val="99"/>
    <w:unhideWhenUsed/>
    <w:rsid w:val="001518CC"/>
    <w:pPr>
      <w:tabs>
        <w:tab w:val="clear" w:pos="288"/>
        <w:tab w:val="center" w:pos="4703"/>
        <w:tab w:val="right" w:pos="9406"/>
      </w:tabs>
      <w:spacing w:after="0" w:line="240" w:lineRule="auto"/>
    </w:pPr>
  </w:style>
  <w:style w:type="character" w:customStyle="1" w:styleId="PieddepageCar">
    <w:name w:val="Pied de page Car"/>
    <w:basedOn w:val="Policepardfaut"/>
    <w:link w:val="Pieddepage"/>
    <w:uiPriority w:val="99"/>
    <w:rsid w:val="001518CC"/>
    <w:rPr>
      <w:rFonts w:ascii="Times New Roman" w:eastAsia="MS Mincho" w:hAnsi="Times New Roman"/>
      <w:spacing w:val="-1"/>
      <w:lang w:eastAsia="en-US"/>
    </w:rPr>
  </w:style>
  <w:style w:type="paragraph" w:customStyle="1" w:styleId="Lgendetableau">
    <w:name w:val="Légende_tableau"/>
    <w:basedOn w:val="Lgende"/>
    <w:qFormat/>
    <w:rsid w:val="00A75DC0"/>
    <w:pPr>
      <w:jc w:val="center"/>
    </w:pPr>
    <w:rPr>
      <w:lang w:val="fr-FR"/>
    </w:rPr>
  </w:style>
  <w:style w:type="paragraph" w:customStyle="1" w:styleId="Default">
    <w:name w:val="Default"/>
    <w:rsid w:val="009A04B4"/>
    <w:pPr>
      <w:autoSpaceDE w:val="0"/>
      <w:autoSpaceDN w:val="0"/>
      <w:adjustRightInd w:val="0"/>
    </w:pPr>
    <w:rPr>
      <w:rFonts w:ascii="Times New Roman" w:eastAsia="Cambria" w:hAnsi="Times New Roman"/>
      <w:color w:val="000000"/>
      <w:sz w:val="24"/>
      <w:szCs w:val="24"/>
    </w:rPr>
  </w:style>
  <w:style w:type="paragraph" w:styleId="Notedebasdepage">
    <w:name w:val="footnote text"/>
    <w:basedOn w:val="Normal"/>
    <w:link w:val="NotedebasdepageCar"/>
    <w:rsid w:val="009A04B4"/>
    <w:pPr>
      <w:widowControl w:val="0"/>
      <w:tabs>
        <w:tab w:val="clear" w:pos="288"/>
      </w:tabs>
      <w:spacing w:after="0" w:line="240" w:lineRule="auto"/>
      <w:ind w:firstLine="0"/>
      <w:jc w:val="left"/>
    </w:pPr>
    <w:rPr>
      <w:rFonts w:eastAsia="Times New Roman"/>
      <w:snapToGrid w:val="0"/>
      <w:spacing w:val="0"/>
      <w:lang w:val="en-US"/>
    </w:rPr>
  </w:style>
  <w:style w:type="character" w:customStyle="1" w:styleId="NotedebasdepageCar">
    <w:name w:val="Note de bas de page Car"/>
    <w:basedOn w:val="Policepardfaut"/>
    <w:link w:val="Notedebasdepage"/>
    <w:rsid w:val="009A04B4"/>
    <w:rPr>
      <w:rFonts w:ascii="Times New Roman" w:hAnsi="Times New Roman"/>
      <w:snapToGrid w:val="0"/>
      <w:lang w:val="en-US" w:eastAsia="en-US"/>
    </w:rPr>
  </w:style>
  <w:style w:type="character" w:customStyle="1" w:styleId="apple-converted-space">
    <w:name w:val="apple-converted-space"/>
    <w:rsid w:val="009A04B4"/>
  </w:style>
  <w:style w:type="paragraph" w:customStyle="1" w:styleId="Textecourant-actes">
    <w:name w:val="Texte courant - actes"/>
    <w:basedOn w:val="Normal"/>
    <w:rsid w:val="001362BF"/>
    <w:pPr>
      <w:tabs>
        <w:tab w:val="clear" w:pos="288"/>
      </w:tabs>
      <w:autoSpaceDE w:val="0"/>
      <w:autoSpaceDN w:val="0"/>
      <w:spacing w:line="240" w:lineRule="auto"/>
      <w:ind w:firstLine="284"/>
    </w:pPr>
    <w:rPr>
      <w:rFonts w:eastAsia="Times New Roman" w:cs="Arial"/>
      <w:spacing w:val="0"/>
      <w:lang w:eastAsia="fr-FR"/>
    </w:rPr>
  </w:style>
  <w:style w:type="paragraph" w:styleId="Explorateurdedocuments">
    <w:name w:val="Document Map"/>
    <w:basedOn w:val="Normal"/>
    <w:link w:val="ExplorateurdedocumentsCar"/>
    <w:uiPriority w:val="99"/>
    <w:semiHidden/>
    <w:unhideWhenUsed/>
    <w:rsid w:val="005A1FAE"/>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A1FAE"/>
    <w:rPr>
      <w:rFonts w:ascii="Tahoma" w:eastAsia="MS Mincho" w:hAnsi="Tahoma" w:cs="Tahoma"/>
      <w:spacing w:val="-1"/>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CBC"/>
    <w:pPr>
      <w:tabs>
        <w:tab w:val="left" w:pos="288"/>
      </w:tabs>
      <w:spacing w:after="120" w:line="228" w:lineRule="auto"/>
      <w:ind w:firstLine="288"/>
      <w:jc w:val="both"/>
    </w:pPr>
    <w:rPr>
      <w:rFonts w:ascii="Times New Roman" w:eastAsia="MS Mincho" w:hAnsi="Times New Roman"/>
      <w:spacing w:val="-1"/>
      <w:lang w:eastAsia="en-US"/>
    </w:rPr>
  </w:style>
  <w:style w:type="paragraph" w:styleId="Titre1">
    <w:name w:val="heading 1"/>
    <w:next w:val="Normal"/>
    <w:link w:val="Titre1Car"/>
    <w:qFormat/>
    <w:rsid w:val="00524CBC"/>
    <w:pPr>
      <w:keepLines/>
      <w:numPr>
        <w:numId w:val="4"/>
      </w:numPr>
      <w:tabs>
        <w:tab w:val="left" w:pos="216"/>
      </w:tabs>
      <w:spacing w:before="160" w:after="80"/>
      <w:jc w:val="both"/>
      <w:outlineLvl w:val="0"/>
    </w:pPr>
    <w:rPr>
      <w:rFonts w:ascii="Times New Roman" w:hAnsi="Times New Roman"/>
      <w:smallCaps/>
      <w:noProof/>
      <w:lang w:eastAsia="en-US"/>
    </w:rPr>
  </w:style>
  <w:style w:type="paragraph" w:styleId="Titre2">
    <w:name w:val="heading 2"/>
    <w:next w:val="Normal"/>
    <w:link w:val="Titre2Car"/>
    <w:uiPriority w:val="99"/>
    <w:qFormat/>
    <w:rsid w:val="0098647E"/>
    <w:pPr>
      <w:keepNext/>
      <w:keepLines/>
      <w:numPr>
        <w:ilvl w:val="1"/>
        <w:numId w:val="4"/>
      </w:numPr>
      <w:spacing w:before="120" w:after="60"/>
      <w:outlineLvl w:val="1"/>
    </w:pPr>
    <w:rPr>
      <w:rFonts w:ascii="Times New Roman" w:eastAsia="MS Mincho" w:hAnsi="Times New Roman"/>
      <w:i/>
      <w:iCs/>
      <w:noProof/>
      <w:lang w:val="en-US" w:eastAsia="en-US"/>
    </w:rPr>
  </w:style>
  <w:style w:type="paragraph" w:styleId="Titre3">
    <w:name w:val="heading 3"/>
    <w:next w:val="Normal"/>
    <w:link w:val="Titre3Car"/>
    <w:qFormat/>
    <w:rsid w:val="00524CBC"/>
    <w:pPr>
      <w:numPr>
        <w:ilvl w:val="2"/>
        <w:numId w:val="4"/>
      </w:numPr>
      <w:spacing w:before="120" w:after="60" w:line="240" w:lineRule="exact"/>
      <w:jc w:val="both"/>
      <w:outlineLvl w:val="2"/>
    </w:pPr>
    <w:rPr>
      <w:rFonts w:ascii="Times New Roman" w:eastAsia="MS Mincho" w:hAnsi="Times New Roman"/>
      <w:i/>
      <w:iCs/>
      <w:noProof/>
      <w:lang w:val="en-US" w:eastAsia="en-US"/>
    </w:rPr>
  </w:style>
  <w:style w:type="paragraph" w:styleId="Titre4">
    <w:name w:val="heading 4"/>
    <w:basedOn w:val="Normal"/>
    <w:next w:val="Normal"/>
    <w:link w:val="Titre4Car"/>
    <w:qFormat/>
    <w:rsid w:val="004059FE"/>
    <w:pPr>
      <w:numPr>
        <w:ilvl w:val="3"/>
        <w:numId w:val="4"/>
      </w:numPr>
      <w:tabs>
        <w:tab w:val="left" w:pos="821"/>
      </w:tabs>
      <w:spacing w:before="40" w:after="40"/>
      <w:outlineLvl w:val="3"/>
    </w:pPr>
    <w:rPr>
      <w:i/>
      <w:iCs/>
      <w:noProof/>
    </w:rPr>
  </w:style>
  <w:style w:type="paragraph" w:styleId="Titre5">
    <w:name w:val="heading 5"/>
    <w:basedOn w:val="Normal"/>
    <w:next w:val="Normal"/>
    <w:link w:val="Titre5Car"/>
    <w:qFormat/>
    <w:rsid w:val="00AB3BED"/>
    <w:pPr>
      <w:numPr>
        <w:ilvl w:val="4"/>
        <w:numId w:val="4"/>
      </w:numPr>
      <w:tabs>
        <w:tab w:val="left" w:pos="360"/>
      </w:tabs>
      <w:spacing w:before="160" w:after="80"/>
      <w:outlineLvl w:val="4"/>
    </w:pPr>
    <w:rPr>
      <w:smallCaps/>
      <w:noProof/>
    </w:rPr>
  </w:style>
  <w:style w:type="paragraph" w:styleId="Titre6">
    <w:name w:val="heading 6"/>
    <w:basedOn w:val="Normal"/>
    <w:next w:val="Normal"/>
    <w:link w:val="Titre6Car"/>
    <w:unhideWhenUsed/>
    <w:qFormat/>
    <w:rsid w:val="00D340E6"/>
    <w:pPr>
      <w:keepNext/>
      <w:keepLines/>
      <w:numPr>
        <w:ilvl w:val="5"/>
        <w:numId w:val="4"/>
      </w:numPr>
      <w:spacing w:before="200"/>
      <w:outlineLvl w:val="5"/>
    </w:pPr>
    <w:rPr>
      <w:rFonts w:asciiTheme="majorHAnsi" w:eastAsiaTheme="majorEastAsia" w:hAnsiTheme="majorHAnsi" w:cstheme="majorBidi"/>
      <w:i/>
      <w:iCs/>
      <w:color w:val="243F60" w:themeColor="accent1" w:themeShade="7F"/>
      <w:szCs w:val="22"/>
    </w:rPr>
  </w:style>
  <w:style w:type="paragraph" w:styleId="Titre7">
    <w:name w:val="heading 7"/>
    <w:basedOn w:val="Normal"/>
    <w:next w:val="Normal"/>
    <w:link w:val="Titre7Car"/>
    <w:unhideWhenUsed/>
    <w:qFormat/>
    <w:rsid w:val="00D340E6"/>
    <w:pPr>
      <w:keepNext/>
      <w:keepLines/>
      <w:numPr>
        <w:ilvl w:val="6"/>
        <w:numId w:val="4"/>
      </w:numPr>
      <w:spacing w:before="200"/>
      <w:outlineLvl w:val="6"/>
    </w:pPr>
    <w:rPr>
      <w:rFonts w:asciiTheme="majorHAnsi" w:eastAsiaTheme="majorEastAsia" w:hAnsiTheme="majorHAnsi" w:cstheme="majorBidi"/>
      <w:i/>
      <w:iCs/>
      <w:color w:val="404040" w:themeColor="text1" w:themeTint="BF"/>
      <w:szCs w:val="22"/>
    </w:rPr>
  </w:style>
  <w:style w:type="paragraph" w:styleId="Titre8">
    <w:name w:val="heading 8"/>
    <w:basedOn w:val="Normal"/>
    <w:next w:val="Normal"/>
    <w:link w:val="Titre8Car"/>
    <w:unhideWhenUsed/>
    <w:qFormat/>
    <w:rsid w:val="00D340E6"/>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nhideWhenUsed/>
    <w:qFormat/>
    <w:rsid w:val="00D340E6"/>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524CBC"/>
    <w:rPr>
      <w:rFonts w:ascii="Times New Roman" w:hAnsi="Times New Roman"/>
      <w:smallCaps/>
      <w:noProof/>
      <w:lang w:eastAsia="en-US"/>
    </w:rPr>
  </w:style>
  <w:style w:type="character" w:customStyle="1" w:styleId="Titre2Car">
    <w:name w:val="Titre 2 Car"/>
    <w:basedOn w:val="Policepardfaut"/>
    <w:link w:val="Titre2"/>
    <w:uiPriority w:val="99"/>
    <w:locked/>
    <w:rsid w:val="0098647E"/>
    <w:rPr>
      <w:rFonts w:ascii="Times New Roman" w:eastAsia="MS Mincho" w:hAnsi="Times New Roman"/>
      <w:i/>
      <w:iCs/>
      <w:noProof/>
      <w:lang w:val="en-US" w:eastAsia="en-US"/>
    </w:rPr>
  </w:style>
  <w:style w:type="character" w:customStyle="1" w:styleId="Titre3Car">
    <w:name w:val="Titre 3 Car"/>
    <w:basedOn w:val="Policepardfaut"/>
    <w:link w:val="Titre3"/>
    <w:locked/>
    <w:rsid w:val="00524CBC"/>
    <w:rPr>
      <w:rFonts w:ascii="Times New Roman" w:eastAsia="MS Mincho" w:hAnsi="Times New Roman"/>
      <w:i/>
      <w:iCs/>
      <w:noProof/>
      <w:lang w:val="en-US" w:eastAsia="en-US"/>
    </w:rPr>
  </w:style>
  <w:style w:type="character" w:customStyle="1" w:styleId="Titre4Car">
    <w:name w:val="Titre 4 Car"/>
    <w:basedOn w:val="Policepardfaut"/>
    <w:link w:val="Titre4"/>
    <w:locked/>
    <w:rsid w:val="004059FE"/>
    <w:rPr>
      <w:rFonts w:ascii="Times New Roman" w:eastAsia="MS Mincho" w:hAnsi="Times New Roman"/>
      <w:i/>
      <w:iCs/>
      <w:noProof/>
      <w:spacing w:val="-1"/>
      <w:lang w:eastAsia="en-US"/>
    </w:rPr>
  </w:style>
  <w:style w:type="character" w:customStyle="1" w:styleId="Titre5Car">
    <w:name w:val="Titre 5 Car"/>
    <w:basedOn w:val="Policepardfaut"/>
    <w:link w:val="Titre5"/>
    <w:locked/>
    <w:rsid w:val="00AB3BED"/>
    <w:rPr>
      <w:rFonts w:ascii="Times New Roman" w:eastAsia="MS Mincho" w:hAnsi="Times New Roman"/>
      <w:smallCaps/>
      <w:noProof/>
      <w:spacing w:val="-1"/>
      <w:lang w:eastAsia="en-US"/>
    </w:rPr>
  </w:style>
  <w:style w:type="paragraph" w:customStyle="1" w:styleId="Rsum">
    <w:name w:val="Résumé"/>
    <w:uiPriority w:val="99"/>
    <w:rsid w:val="00287B5A"/>
    <w:pPr>
      <w:spacing w:after="200"/>
      <w:ind w:firstLine="274"/>
      <w:jc w:val="both"/>
    </w:pPr>
    <w:rPr>
      <w:rFonts w:ascii="Times New Roman" w:hAnsi="Times New Roman"/>
      <w:b/>
      <w:bCs/>
      <w:sz w:val="18"/>
      <w:szCs w:val="18"/>
      <w:lang w:eastAsia="en-US"/>
    </w:rPr>
  </w:style>
  <w:style w:type="paragraph" w:customStyle="1" w:styleId="Affiliation">
    <w:name w:val="Affiliation"/>
    <w:uiPriority w:val="99"/>
    <w:rsid w:val="008129FC"/>
    <w:pPr>
      <w:spacing w:after="480"/>
      <w:jc w:val="center"/>
    </w:pPr>
    <w:rPr>
      <w:rFonts w:ascii="Times New Roman" w:hAnsi="Times New Roman"/>
      <w:lang w:eastAsia="en-US"/>
    </w:rPr>
  </w:style>
  <w:style w:type="paragraph" w:customStyle="1" w:styleId="Nom">
    <w:name w:val="Nom"/>
    <w:uiPriority w:val="99"/>
    <w:rsid w:val="00287B5A"/>
    <w:pPr>
      <w:spacing w:before="360" w:after="40"/>
      <w:jc w:val="center"/>
    </w:pPr>
    <w:rPr>
      <w:rFonts w:ascii="Times New Roman" w:hAnsi="Times New Roman"/>
      <w:noProof/>
      <w:sz w:val="22"/>
      <w:szCs w:val="22"/>
      <w:lang w:eastAsia="en-US"/>
    </w:rPr>
  </w:style>
  <w:style w:type="paragraph" w:styleId="Corpsdetexte">
    <w:name w:val="Body Text"/>
    <w:basedOn w:val="Normal"/>
    <w:link w:val="CorpsdetexteCar"/>
    <w:uiPriority w:val="99"/>
    <w:rsid w:val="00753F7B"/>
  </w:style>
  <w:style w:type="character" w:customStyle="1" w:styleId="CorpsdetexteCar">
    <w:name w:val="Corps de texte Car"/>
    <w:basedOn w:val="Policepardfaut"/>
    <w:link w:val="Corpsdetexte"/>
    <w:uiPriority w:val="99"/>
    <w:locked/>
    <w:rsid w:val="00753F7B"/>
    <w:rPr>
      <w:rFonts w:ascii="Times New Roman" w:eastAsia="MS Mincho" w:hAnsi="Times New Roman" w:cs="Times New Roman"/>
      <w:sz w:val="20"/>
      <w:szCs w:val="20"/>
    </w:rPr>
  </w:style>
  <w:style w:type="paragraph" w:customStyle="1" w:styleId="bulletlist">
    <w:name w:val="bullet list"/>
    <w:basedOn w:val="Corpsdetexte"/>
    <w:rsid w:val="00524F7B"/>
    <w:pPr>
      <w:numPr>
        <w:numId w:val="1"/>
      </w:numPr>
      <w:tabs>
        <w:tab w:val="clear" w:pos="648"/>
      </w:tabs>
      <w:ind w:left="578" w:hanging="289"/>
      <w:contextualSpacing/>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titredesfigures">
    <w:name w:val="titre des figures"/>
    <w:rsid w:val="00E609FD"/>
    <w:pPr>
      <w:tabs>
        <w:tab w:val="left" w:pos="533"/>
      </w:tabs>
      <w:spacing w:before="80" w:after="200"/>
      <w:jc w:val="center"/>
    </w:pPr>
    <w:rPr>
      <w:rFonts w:ascii="Times New Roman" w:hAnsi="Times New Roman"/>
      <w:noProof/>
      <w:sz w:val="16"/>
      <w:szCs w:val="16"/>
      <w:lang w:val="en-US" w:eastAsia="en-US"/>
    </w:rPr>
  </w:style>
  <w:style w:type="paragraph" w:customStyle="1" w:styleId="footnote">
    <w:name w:val="footnote"/>
    <w:uiPriority w:val="99"/>
    <w:rsid w:val="00AB3BED"/>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Mots-cls">
    <w:name w:val="Mots-clés"/>
    <w:uiPriority w:val="99"/>
    <w:rsid w:val="00A557AC"/>
    <w:pPr>
      <w:spacing w:after="120"/>
      <w:ind w:firstLine="272"/>
      <w:jc w:val="both"/>
    </w:pPr>
    <w:rPr>
      <w:rFonts w:ascii="Times New Roman" w:hAnsi="Times New Roman"/>
      <w:b/>
      <w:bCs/>
      <w:i/>
      <w:iCs/>
      <w:noProof/>
      <w:sz w:val="18"/>
      <w:szCs w:val="18"/>
      <w:lang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Numrodquation">
    <w:name w:val="Numéro d'équation"/>
    <w:rsid w:val="00FA7604"/>
    <w:pPr>
      <w:tabs>
        <w:tab w:val="num" w:pos="0"/>
      </w:tabs>
      <w:jc w:val="right"/>
    </w:pPr>
    <w:rPr>
      <w:rFonts w:ascii="Times New Roman" w:hAnsi="Times New Roman"/>
      <w:color w:val="000000"/>
    </w:rPr>
  </w:style>
  <w:style w:type="paragraph" w:customStyle="1" w:styleId="Rfrences">
    <w:name w:val="Références"/>
    <w:uiPriority w:val="99"/>
    <w:rsid w:val="008129FC"/>
    <w:pPr>
      <w:numPr>
        <w:numId w:val="8"/>
      </w:numPr>
      <w:spacing w:after="50" w:line="180" w:lineRule="exact"/>
      <w:jc w:val="both"/>
    </w:pPr>
    <w:rPr>
      <w:rFonts w:ascii="Times New Roman" w:hAnsi="Times New Roman"/>
      <w:noProof/>
      <w:sz w:val="16"/>
      <w:szCs w:val="16"/>
      <w:lang w:eastAsia="en-US"/>
    </w:rPr>
  </w:style>
  <w:style w:type="paragraph" w:customStyle="1" w:styleId="sponsors">
    <w:name w:val="sponsors"/>
    <w:rsid w:val="00AB3BED"/>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itrecolonnestableaux">
    <w:name w:val="Titre colonnes tableaux"/>
    <w:uiPriority w:val="99"/>
    <w:rsid w:val="00524CBC"/>
    <w:rPr>
      <w:rFonts w:ascii="Times New Roman" w:eastAsia="MS Mincho" w:hAnsi="Times New Roman"/>
      <w:b/>
      <w:bCs/>
      <w:spacing w:val="-1"/>
      <w:sz w:val="16"/>
      <w:szCs w:val="16"/>
      <w:lang w:eastAsia="en-US"/>
    </w:rPr>
  </w:style>
  <w:style w:type="paragraph" w:customStyle="1" w:styleId="tablecolsubhead">
    <w:name w:val="table col subhead"/>
    <w:basedOn w:val="Titrecolonnestableaux"/>
    <w:uiPriority w:val="99"/>
    <w:rsid w:val="00AB3BED"/>
    <w:rPr>
      <w:i/>
      <w:iCs/>
      <w:sz w:val="15"/>
      <w:szCs w:val="15"/>
    </w:rPr>
  </w:style>
  <w:style w:type="paragraph" w:customStyle="1" w:styleId="Cellulestableaux">
    <w:name w:val="Cellules tableaux"/>
    <w:uiPriority w:val="99"/>
    <w:rsid w:val="00524CBC"/>
    <w:pPr>
      <w:contextualSpacing/>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rsid w:val="00E11285"/>
    <w:pPr>
      <w:spacing w:before="240" w:after="120" w:line="216" w:lineRule="auto"/>
      <w:jc w:val="center"/>
    </w:pPr>
    <w:rPr>
      <w:rFonts w:ascii="Times New Roman" w:hAnsi="Times New Roman"/>
      <w:smallCaps/>
      <w:noProof/>
      <w:sz w:val="16"/>
      <w:szCs w:val="16"/>
      <w:lang w:val="en-US" w:eastAsia="en-US"/>
    </w:rPr>
  </w:style>
  <w:style w:type="character" w:styleId="Lienhypertexte">
    <w:name w:val="Hyperlink"/>
    <w:basedOn w:val="Policepardfaut"/>
    <w:uiPriority w:val="99"/>
    <w:unhideWhenUsed/>
    <w:rsid w:val="00E82A20"/>
    <w:rPr>
      <w:color w:val="0000FF" w:themeColor="hyperlink"/>
      <w:u w:val="single"/>
    </w:rPr>
  </w:style>
  <w:style w:type="paragraph" w:customStyle="1" w:styleId="Legend">
    <w:name w:val="Legend"/>
    <w:basedOn w:val="Normal"/>
    <w:rsid w:val="00EC2220"/>
    <w:pPr>
      <w:spacing w:before="100" w:after="100"/>
    </w:pPr>
    <w:rPr>
      <w:rFonts w:eastAsiaTheme="minorHAnsi" w:cstheme="minorBidi"/>
      <w:sz w:val="16"/>
      <w:szCs w:val="16"/>
    </w:rPr>
  </w:style>
  <w:style w:type="paragraph" w:customStyle="1" w:styleId="Images">
    <w:name w:val="Images"/>
    <w:qFormat/>
    <w:rsid w:val="0098647E"/>
    <w:pPr>
      <w:spacing w:before="100"/>
      <w:jc w:val="center"/>
    </w:pPr>
    <w:rPr>
      <w:rFonts w:asciiTheme="majorBidi" w:eastAsiaTheme="minorHAnsi" w:hAnsiTheme="majorBidi" w:cstheme="majorBidi"/>
      <w:noProof/>
      <w:lang w:val="en-US"/>
    </w:rPr>
  </w:style>
  <w:style w:type="paragraph" w:styleId="Textedebulles">
    <w:name w:val="Balloon Text"/>
    <w:basedOn w:val="Normal"/>
    <w:link w:val="TextedebullesCar"/>
    <w:uiPriority w:val="99"/>
    <w:semiHidden/>
    <w:unhideWhenUsed/>
    <w:rsid w:val="00EC2220"/>
    <w:rPr>
      <w:rFonts w:ascii="Tahoma" w:hAnsi="Tahoma" w:cs="Tahoma"/>
      <w:sz w:val="16"/>
      <w:szCs w:val="16"/>
    </w:rPr>
  </w:style>
  <w:style w:type="character" w:customStyle="1" w:styleId="TextedebullesCar">
    <w:name w:val="Texte de bulles Car"/>
    <w:basedOn w:val="Policepardfaut"/>
    <w:link w:val="Textedebulles"/>
    <w:uiPriority w:val="99"/>
    <w:semiHidden/>
    <w:rsid w:val="00EC2220"/>
    <w:rPr>
      <w:rFonts w:ascii="Tahoma" w:hAnsi="Tahoma" w:cs="Tahoma"/>
      <w:sz w:val="16"/>
      <w:szCs w:val="16"/>
      <w:lang w:val="en-US" w:eastAsia="en-US"/>
    </w:rPr>
  </w:style>
  <w:style w:type="paragraph" w:customStyle="1" w:styleId="Textetableaugauche">
    <w:name w:val="Texte tableau gauche"/>
    <w:basedOn w:val="Normal"/>
    <w:rsid w:val="00D340E6"/>
    <w:pPr>
      <w:spacing w:before="100"/>
      <w:jc w:val="left"/>
    </w:pPr>
    <w:rPr>
      <w:rFonts w:eastAsia="Batang"/>
      <w:szCs w:val="16"/>
    </w:rPr>
  </w:style>
  <w:style w:type="paragraph" w:customStyle="1" w:styleId="Titretableau">
    <w:name w:val="Titre tableau"/>
    <w:basedOn w:val="Textetableaugauche"/>
    <w:qFormat/>
    <w:rsid w:val="00D340E6"/>
    <w:rPr>
      <w:rFonts w:asciiTheme="majorBidi" w:hAnsiTheme="majorBidi" w:cstheme="majorBidi"/>
      <w:b/>
      <w:szCs w:val="20"/>
    </w:rPr>
  </w:style>
  <w:style w:type="character" w:customStyle="1" w:styleId="Titre6Car">
    <w:name w:val="Titre 6 Car"/>
    <w:basedOn w:val="Policepardfaut"/>
    <w:link w:val="Titre6"/>
    <w:rsid w:val="00D340E6"/>
    <w:rPr>
      <w:rFonts w:asciiTheme="majorHAnsi" w:eastAsiaTheme="majorEastAsia" w:hAnsiTheme="majorHAnsi" w:cstheme="majorBidi"/>
      <w:i/>
      <w:iCs/>
      <w:color w:val="243F60" w:themeColor="accent1" w:themeShade="7F"/>
      <w:spacing w:val="-1"/>
      <w:szCs w:val="22"/>
      <w:lang w:eastAsia="en-US"/>
    </w:rPr>
  </w:style>
  <w:style w:type="character" w:customStyle="1" w:styleId="Titre7Car">
    <w:name w:val="Titre 7 Car"/>
    <w:basedOn w:val="Policepardfaut"/>
    <w:link w:val="Titre7"/>
    <w:rsid w:val="00D340E6"/>
    <w:rPr>
      <w:rFonts w:asciiTheme="majorHAnsi" w:eastAsiaTheme="majorEastAsia" w:hAnsiTheme="majorHAnsi" w:cstheme="majorBidi"/>
      <w:i/>
      <w:iCs/>
      <w:color w:val="404040" w:themeColor="text1" w:themeTint="BF"/>
      <w:spacing w:val="-1"/>
      <w:szCs w:val="22"/>
      <w:lang w:eastAsia="en-US"/>
    </w:rPr>
  </w:style>
  <w:style w:type="character" w:customStyle="1" w:styleId="Titre8Car">
    <w:name w:val="Titre 8 Car"/>
    <w:basedOn w:val="Policepardfaut"/>
    <w:link w:val="Titre8"/>
    <w:rsid w:val="00D340E6"/>
    <w:rPr>
      <w:rFonts w:asciiTheme="majorHAnsi" w:eastAsiaTheme="majorEastAsia" w:hAnsiTheme="majorHAnsi" w:cstheme="majorBidi"/>
      <w:color w:val="404040" w:themeColor="text1" w:themeTint="BF"/>
      <w:spacing w:val="-1"/>
      <w:lang w:eastAsia="en-US"/>
    </w:rPr>
  </w:style>
  <w:style w:type="character" w:customStyle="1" w:styleId="Titre9Car">
    <w:name w:val="Titre 9 Car"/>
    <w:basedOn w:val="Policepardfaut"/>
    <w:link w:val="Titre9"/>
    <w:rsid w:val="00D340E6"/>
    <w:rPr>
      <w:rFonts w:asciiTheme="majorHAnsi" w:eastAsiaTheme="majorEastAsia" w:hAnsiTheme="majorHAnsi" w:cstheme="majorBidi"/>
      <w:i/>
      <w:iCs/>
      <w:color w:val="404040" w:themeColor="text1" w:themeTint="BF"/>
      <w:spacing w:val="-1"/>
      <w:lang w:eastAsia="en-US"/>
    </w:rPr>
  </w:style>
  <w:style w:type="table" w:styleId="Grille">
    <w:name w:val="Table Grid"/>
    <w:basedOn w:val="TableauNormal"/>
    <w:uiPriority w:val="59"/>
    <w:rsid w:val="00D340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eroequation">
    <w:name w:val="numero_equation"/>
    <w:link w:val="numeroequationCar"/>
    <w:rsid w:val="00D340E6"/>
    <w:pPr>
      <w:numPr>
        <w:numId w:val="14"/>
      </w:numPr>
      <w:jc w:val="right"/>
    </w:pPr>
    <w:rPr>
      <w:rFonts w:ascii="Times New Roman" w:hAnsi="Times New Roman"/>
      <w:color w:val="000000"/>
    </w:rPr>
  </w:style>
  <w:style w:type="character" w:customStyle="1" w:styleId="numeroequationCar">
    <w:name w:val="numero_equation Car"/>
    <w:basedOn w:val="Policepardfaut"/>
    <w:link w:val="numeroequation"/>
    <w:rsid w:val="00D340E6"/>
    <w:rPr>
      <w:rFonts w:ascii="Times New Roman" w:hAnsi="Times New Roman"/>
      <w:color w:val="000000"/>
    </w:rPr>
  </w:style>
  <w:style w:type="paragraph" w:styleId="Listepuces">
    <w:name w:val="List Bullet"/>
    <w:basedOn w:val="Normal"/>
    <w:uiPriority w:val="99"/>
    <w:unhideWhenUsed/>
    <w:rsid w:val="00D340E6"/>
    <w:pPr>
      <w:numPr>
        <w:numId w:val="15"/>
      </w:numPr>
      <w:spacing w:before="100"/>
      <w:ind w:left="357" w:hanging="357"/>
      <w:contextualSpacing/>
      <w:jc w:val="left"/>
    </w:pPr>
    <w:rPr>
      <w:rFonts w:eastAsia="Batang"/>
    </w:rPr>
  </w:style>
  <w:style w:type="paragraph" w:customStyle="1" w:styleId="Equation0">
    <w:name w:val="Equation"/>
    <w:next w:val="Normal"/>
    <w:rsid w:val="0098647E"/>
    <w:pPr>
      <w:widowControl w:val="0"/>
      <w:tabs>
        <w:tab w:val="right" w:pos="5040"/>
      </w:tabs>
      <w:jc w:val="center"/>
    </w:pPr>
    <w:rPr>
      <w:rFonts w:ascii="Times New Roman" w:eastAsia="Batang" w:hAnsi="Times New Roman"/>
      <w:lang w:val="en-US" w:eastAsia="en-US"/>
    </w:rPr>
  </w:style>
  <w:style w:type="paragraph" w:customStyle="1" w:styleId="Text">
    <w:name w:val="Text"/>
    <w:basedOn w:val="Normal"/>
    <w:rsid w:val="00D340E6"/>
    <w:pPr>
      <w:widowControl w:val="0"/>
      <w:spacing w:before="100" w:line="252" w:lineRule="auto"/>
      <w:ind w:firstLine="202"/>
    </w:pPr>
    <w:rPr>
      <w:rFonts w:eastAsia="Batang"/>
    </w:rPr>
  </w:style>
  <w:style w:type="paragraph" w:customStyle="1" w:styleId="Style1">
    <w:name w:val="Style1"/>
    <w:basedOn w:val="numeroequation"/>
    <w:link w:val="Style1Car"/>
    <w:qFormat/>
    <w:rsid w:val="00D340E6"/>
    <w:pPr>
      <w:numPr>
        <w:numId w:val="0"/>
      </w:numPr>
      <w:tabs>
        <w:tab w:val="num" w:pos="576"/>
      </w:tabs>
    </w:pPr>
  </w:style>
  <w:style w:type="character" w:customStyle="1" w:styleId="Style1Car">
    <w:name w:val="Style1 Car"/>
    <w:basedOn w:val="numeroequationCar"/>
    <w:link w:val="Style1"/>
    <w:rsid w:val="00D340E6"/>
    <w:rPr>
      <w:rFonts w:ascii="Times New Roman" w:hAnsi="Times New Roman"/>
      <w:color w:val="000000"/>
    </w:rPr>
  </w:style>
  <w:style w:type="paragraph" w:customStyle="1" w:styleId="subfigurecaption">
    <w:name w:val="sub figure caption"/>
    <w:basedOn w:val="titredesfigures"/>
    <w:rsid w:val="0091467D"/>
  </w:style>
  <w:style w:type="paragraph" w:customStyle="1" w:styleId="tablecopybold">
    <w:name w:val="table copy bold"/>
    <w:basedOn w:val="Cellulestableaux"/>
    <w:qFormat/>
    <w:rsid w:val="0091467D"/>
    <w:rPr>
      <w:b/>
    </w:rPr>
  </w:style>
  <w:style w:type="paragraph" w:styleId="Lgende">
    <w:name w:val="caption"/>
    <w:next w:val="Normal"/>
    <w:uiPriority w:val="35"/>
    <w:unhideWhenUsed/>
    <w:qFormat/>
    <w:rsid w:val="00A75DC0"/>
    <w:pPr>
      <w:spacing w:before="120" w:after="120"/>
    </w:pPr>
    <w:rPr>
      <w:rFonts w:ascii="Times New Roman" w:hAnsi="Times New Roman"/>
      <w:noProof/>
      <w:sz w:val="16"/>
      <w:szCs w:val="16"/>
      <w:lang w:val="en-US" w:eastAsia="en-US"/>
    </w:rPr>
  </w:style>
  <w:style w:type="paragraph" w:styleId="Titre">
    <w:name w:val="Title"/>
    <w:next w:val="Normal"/>
    <w:link w:val="TitreCar"/>
    <w:uiPriority w:val="10"/>
    <w:qFormat/>
    <w:rsid w:val="0098647E"/>
    <w:pPr>
      <w:spacing w:after="120"/>
      <w:jc w:val="center"/>
    </w:pPr>
    <w:rPr>
      <w:rFonts w:ascii="Times New Roman" w:eastAsia="MS Mincho" w:hAnsi="Times New Roman"/>
      <w:bCs/>
      <w:noProof/>
      <w:sz w:val="48"/>
      <w:szCs w:val="48"/>
      <w:lang w:eastAsia="en-US"/>
    </w:rPr>
  </w:style>
  <w:style w:type="character" w:customStyle="1" w:styleId="TitreCar">
    <w:name w:val="Titre Car"/>
    <w:basedOn w:val="Policepardfaut"/>
    <w:link w:val="Titre"/>
    <w:uiPriority w:val="10"/>
    <w:rsid w:val="0098647E"/>
    <w:rPr>
      <w:rFonts w:ascii="Times New Roman" w:eastAsia="MS Mincho" w:hAnsi="Times New Roman"/>
      <w:bCs/>
      <w:noProof/>
      <w:sz w:val="48"/>
      <w:szCs w:val="48"/>
      <w:lang w:eastAsia="en-US"/>
    </w:rPr>
  </w:style>
  <w:style w:type="paragraph" w:customStyle="1" w:styleId="LogoSGE">
    <w:name w:val="Logo SGE"/>
    <w:basedOn w:val="Normal"/>
    <w:rsid w:val="008129FC"/>
    <w:pPr>
      <w:tabs>
        <w:tab w:val="clear" w:pos="288"/>
      </w:tabs>
      <w:spacing w:line="240" w:lineRule="auto"/>
      <w:ind w:firstLine="0"/>
      <w:jc w:val="right"/>
    </w:pPr>
    <w:rPr>
      <w:rFonts w:eastAsia="Times New Roman"/>
      <w:spacing w:val="0"/>
    </w:rPr>
  </w:style>
  <w:style w:type="paragraph" w:styleId="En-tte">
    <w:name w:val="header"/>
    <w:basedOn w:val="Normal"/>
    <w:link w:val="En-tteCar"/>
    <w:uiPriority w:val="99"/>
    <w:unhideWhenUsed/>
    <w:rsid w:val="00022418"/>
    <w:pPr>
      <w:tabs>
        <w:tab w:val="clear" w:pos="288"/>
        <w:tab w:val="center" w:pos="4703"/>
        <w:tab w:val="right" w:pos="9406"/>
      </w:tabs>
      <w:spacing w:after="0" w:line="240" w:lineRule="auto"/>
    </w:pPr>
    <w:rPr>
      <w:caps/>
    </w:rPr>
  </w:style>
  <w:style w:type="character" w:customStyle="1" w:styleId="En-tteCar">
    <w:name w:val="En-tête Car"/>
    <w:basedOn w:val="Policepardfaut"/>
    <w:link w:val="En-tte"/>
    <w:uiPriority w:val="99"/>
    <w:rsid w:val="00022418"/>
    <w:rPr>
      <w:rFonts w:ascii="Times New Roman" w:eastAsia="MS Mincho" w:hAnsi="Times New Roman"/>
      <w:caps/>
      <w:spacing w:val="-1"/>
      <w:lang w:eastAsia="en-US"/>
    </w:rPr>
  </w:style>
  <w:style w:type="paragraph" w:styleId="Pieddepage">
    <w:name w:val="footer"/>
    <w:basedOn w:val="Normal"/>
    <w:link w:val="PieddepageCar"/>
    <w:uiPriority w:val="99"/>
    <w:unhideWhenUsed/>
    <w:rsid w:val="001518CC"/>
    <w:pPr>
      <w:tabs>
        <w:tab w:val="clear" w:pos="288"/>
        <w:tab w:val="center" w:pos="4703"/>
        <w:tab w:val="right" w:pos="9406"/>
      </w:tabs>
      <w:spacing w:after="0" w:line="240" w:lineRule="auto"/>
    </w:pPr>
  </w:style>
  <w:style w:type="character" w:customStyle="1" w:styleId="PieddepageCar">
    <w:name w:val="Pied de page Car"/>
    <w:basedOn w:val="Policepardfaut"/>
    <w:link w:val="Pieddepage"/>
    <w:uiPriority w:val="99"/>
    <w:rsid w:val="001518CC"/>
    <w:rPr>
      <w:rFonts w:ascii="Times New Roman" w:eastAsia="MS Mincho" w:hAnsi="Times New Roman"/>
      <w:spacing w:val="-1"/>
      <w:lang w:eastAsia="en-US"/>
    </w:rPr>
  </w:style>
  <w:style w:type="paragraph" w:customStyle="1" w:styleId="Lgendetableau">
    <w:name w:val="Légende_tableau"/>
    <w:basedOn w:val="Lgende"/>
    <w:qFormat/>
    <w:rsid w:val="00A75DC0"/>
    <w:pPr>
      <w:jc w:val="center"/>
    </w:pPr>
    <w:rPr>
      <w:lang w:val="fr-FR"/>
    </w:rPr>
  </w:style>
  <w:style w:type="paragraph" w:customStyle="1" w:styleId="Default">
    <w:name w:val="Default"/>
    <w:rsid w:val="009A04B4"/>
    <w:pPr>
      <w:autoSpaceDE w:val="0"/>
      <w:autoSpaceDN w:val="0"/>
      <w:adjustRightInd w:val="0"/>
    </w:pPr>
    <w:rPr>
      <w:rFonts w:ascii="Times New Roman" w:eastAsia="Cambria" w:hAnsi="Times New Roman"/>
      <w:color w:val="000000"/>
      <w:sz w:val="24"/>
      <w:szCs w:val="24"/>
    </w:rPr>
  </w:style>
  <w:style w:type="paragraph" w:styleId="Notedebasdepage">
    <w:name w:val="footnote text"/>
    <w:basedOn w:val="Normal"/>
    <w:link w:val="NotedebasdepageCar"/>
    <w:rsid w:val="009A04B4"/>
    <w:pPr>
      <w:widowControl w:val="0"/>
      <w:tabs>
        <w:tab w:val="clear" w:pos="288"/>
      </w:tabs>
      <w:spacing w:after="0" w:line="240" w:lineRule="auto"/>
      <w:ind w:firstLine="0"/>
      <w:jc w:val="left"/>
    </w:pPr>
    <w:rPr>
      <w:rFonts w:eastAsia="Times New Roman"/>
      <w:snapToGrid w:val="0"/>
      <w:spacing w:val="0"/>
      <w:lang w:val="en-US"/>
    </w:rPr>
  </w:style>
  <w:style w:type="character" w:customStyle="1" w:styleId="NotedebasdepageCar">
    <w:name w:val="Note de bas de page Car"/>
    <w:basedOn w:val="Policepardfaut"/>
    <w:link w:val="Notedebasdepage"/>
    <w:rsid w:val="009A04B4"/>
    <w:rPr>
      <w:rFonts w:ascii="Times New Roman" w:hAnsi="Times New Roman"/>
      <w:snapToGrid w:val="0"/>
      <w:lang w:val="en-US" w:eastAsia="en-US"/>
    </w:rPr>
  </w:style>
  <w:style w:type="character" w:customStyle="1" w:styleId="apple-converted-space">
    <w:name w:val="apple-converted-space"/>
    <w:rsid w:val="009A04B4"/>
  </w:style>
  <w:style w:type="paragraph" w:customStyle="1" w:styleId="Textecourant-actes">
    <w:name w:val="Texte courant - actes"/>
    <w:basedOn w:val="Normal"/>
    <w:rsid w:val="001362BF"/>
    <w:pPr>
      <w:tabs>
        <w:tab w:val="clear" w:pos="288"/>
      </w:tabs>
      <w:autoSpaceDE w:val="0"/>
      <w:autoSpaceDN w:val="0"/>
      <w:spacing w:line="240" w:lineRule="auto"/>
      <w:ind w:firstLine="284"/>
    </w:pPr>
    <w:rPr>
      <w:rFonts w:eastAsia="Times New Roman" w:cs="Arial"/>
      <w:spacing w:val="0"/>
      <w:lang w:eastAsia="fr-FR"/>
    </w:rPr>
  </w:style>
  <w:style w:type="paragraph" w:styleId="Explorateurdedocument">
    <w:name w:val="Document Map"/>
    <w:basedOn w:val="Normal"/>
    <w:link w:val="ExplorateurdedocumentCar"/>
    <w:uiPriority w:val="99"/>
    <w:semiHidden/>
    <w:unhideWhenUsed/>
    <w:rsid w:val="005A1FAE"/>
    <w:pPr>
      <w:spacing w:after="0" w:line="240" w:lineRule="auto"/>
    </w:pPr>
    <w:rPr>
      <w:rFonts w:ascii="Tahoma" w:hAnsi="Tahoma" w:cs="Tahoma"/>
      <w:sz w:val="16"/>
      <w:szCs w:val="16"/>
    </w:rPr>
  </w:style>
  <w:style w:type="character" w:customStyle="1" w:styleId="ExplorateurdedocumentCar">
    <w:name w:val="Explorateur de document Car"/>
    <w:basedOn w:val="Policepardfaut"/>
    <w:link w:val="Explorateurdedocument"/>
    <w:uiPriority w:val="99"/>
    <w:semiHidden/>
    <w:rsid w:val="005A1FAE"/>
    <w:rPr>
      <w:rFonts w:ascii="Tahoma" w:eastAsia="MS Mincho" w:hAnsi="Tahoma" w:cs="Tahoma"/>
      <w:spacing w:val="-1"/>
      <w:sz w:val="16"/>
      <w:szCs w:val="16"/>
      <w:lang w:eastAsia="en-US"/>
    </w:rPr>
  </w:style>
</w:styles>
</file>

<file path=word/webSettings.xml><?xml version="1.0" encoding="utf-8"?>
<w:webSettings xmlns:r="http://schemas.openxmlformats.org/officeDocument/2006/relationships" xmlns:w="http://schemas.openxmlformats.org/wordprocessingml/2006/main">
  <w:divs>
    <w:div w:id="192615816">
      <w:bodyDiv w:val="1"/>
      <w:marLeft w:val="0"/>
      <w:marRight w:val="0"/>
      <w:marTop w:val="0"/>
      <w:marBottom w:val="0"/>
      <w:divBdr>
        <w:top w:val="none" w:sz="0" w:space="0" w:color="auto"/>
        <w:left w:val="none" w:sz="0" w:space="0" w:color="auto"/>
        <w:bottom w:val="none" w:sz="0" w:space="0" w:color="auto"/>
        <w:right w:val="none" w:sz="0" w:space="0" w:color="auto"/>
      </w:divBdr>
    </w:div>
    <w:div w:id="248580838">
      <w:bodyDiv w:val="1"/>
      <w:marLeft w:val="0"/>
      <w:marRight w:val="0"/>
      <w:marTop w:val="0"/>
      <w:marBottom w:val="0"/>
      <w:divBdr>
        <w:top w:val="none" w:sz="0" w:space="0" w:color="auto"/>
        <w:left w:val="none" w:sz="0" w:space="0" w:color="auto"/>
        <w:bottom w:val="none" w:sz="0" w:space="0" w:color="auto"/>
        <w:right w:val="none" w:sz="0" w:space="0" w:color="auto"/>
      </w:divBdr>
    </w:div>
    <w:div w:id="281084508">
      <w:bodyDiv w:val="1"/>
      <w:marLeft w:val="0"/>
      <w:marRight w:val="0"/>
      <w:marTop w:val="0"/>
      <w:marBottom w:val="0"/>
      <w:divBdr>
        <w:top w:val="none" w:sz="0" w:space="0" w:color="auto"/>
        <w:left w:val="none" w:sz="0" w:space="0" w:color="auto"/>
        <w:bottom w:val="none" w:sz="0" w:space="0" w:color="auto"/>
        <w:right w:val="none" w:sz="0" w:space="0" w:color="auto"/>
      </w:divBdr>
    </w:div>
    <w:div w:id="372968369">
      <w:bodyDiv w:val="1"/>
      <w:marLeft w:val="0"/>
      <w:marRight w:val="0"/>
      <w:marTop w:val="0"/>
      <w:marBottom w:val="0"/>
      <w:divBdr>
        <w:top w:val="none" w:sz="0" w:space="0" w:color="auto"/>
        <w:left w:val="none" w:sz="0" w:space="0" w:color="auto"/>
        <w:bottom w:val="none" w:sz="0" w:space="0" w:color="auto"/>
        <w:right w:val="none" w:sz="0" w:space="0" w:color="auto"/>
      </w:divBdr>
    </w:div>
    <w:div w:id="422728323">
      <w:bodyDiv w:val="1"/>
      <w:marLeft w:val="0"/>
      <w:marRight w:val="0"/>
      <w:marTop w:val="0"/>
      <w:marBottom w:val="0"/>
      <w:divBdr>
        <w:top w:val="none" w:sz="0" w:space="0" w:color="auto"/>
        <w:left w:val="none" w:sz="0" w:space="0" w:color="auto"/>
        <w:bottom w:val="none" w:sz="0" w:space="0" w:color="auto"/>
        <w:right w:val="none" w:sz="0" w:space="0" w:color="auto"/>
      </w:divBdr>
    </w:div>
    <w:div w:id="717166508">
      <w:bodyDiv w:val="1"/>
      <w:marLeft w:val="0"/>
      <w:marRight w:val="0"/>
      <w:marTop w:val="0"/>
      <w:marBottom w:val="0"/>
      <w:divBdr>
        <w:top w:val="none" w:sz="0" w:space="0" w:color="auto"/>
        <w:left w:val="none" w:sz="0" w:space="0" w:color="auto"/>
        <w:bottom w:val="none" w:sz="0" w:space="0" w:color="auto"/>
        <w:right w:val="none" w:sz="0" w:space="0" w:color="auto"/>
      </w:divBdr>
    </w:div>
    <w:div w:id="869415274">
      <w:bodyDiv w:val="1"/>
      <w:marLeft w:val="0"/>
      <w:marRight w:val="0"/>
      <w:marTop w:val="0"/>
      <w:marBottom w:val="0"/>
      <w:divBdr>
        <w:top w:val="none" w:sz="0" w:space="0" w:color="auto"/>
        <w:left w:val="none" w:sz="0" w:space="0" w:color="auto"/>
        <w:bottom w:val="none" w:sz="0" w:space="0" w:color="auto"/>
        <w:right w:val="none" w:sz="0" w:space="0" w:color="auto"/>
      </w:divBdr>
    </w:div>
    <w:div w:id="998119672">
      <w:bodyDiv w:val="1"/>
      <w:marLeft w:val="0"/>
      <w:marRight w:val="0"/>
      <w:marTop w:val="0"/>
      <w:marBottom w:val="0"/>
      <w:divBdr>
        <w:top w:val="none" w:sz="0" w:space="0" w:color="auto"/>
        <w:left w:val="none" w:sz="0" w:space="0" w:color="auto"/>
        <w:bottom w:val="none" w:sz="0" w:space="0" w:color="auto"/>
        <w:right w:val="none" w:sz="0" w:space="0" w:color="auto"/>
      </w:divBdr>
    </w:div>
    <w:div w:id="1007681754">
      <w:bodyDiv w:val="1"/>
      <w:marLeft w:val="0"/>
      <w:marRight w:val="0"/>
      <w:marTop w:val="0"/>
      <w:marBottom w:val="0"/>
      <w:divBdr>
        <w:top w:val="none" w:sz="0" w:space="0" w:color="auto"/>
        <w:left w:val="none" w:sz="0" w:space="0" w:color="auto"/>
        <w:bottom w:val="none" w:sz="0" w:space="0" w:color="auto"/>
        <w:right w:val="none" w:sz="0" w:space="0" w:color="auto"/>
      </w:divBdr>
    </w:div>
    <w:div w:id="1059791617">
      <w:bodyDiv w:val="1"/>
      <w:marLeft w:val="0"/>
      <w:marRight w:val="0"/>
      <w:marTop w:val="0"/>
      <w:marBottom w:val="0"/>
      <w:divBdr>
        <w:top w:val="none" w:sz="0" w:space="0" w:color="auto"/>
        <w:left w:val="none" w:sz="0" w:space="0" w:color="auto"/>
        <w:bottom w:val="none" w:sz="0" w:space="0" w:color="auto"/>
        <w:right w:val="none" w:sz="0" w:space="0" w:color="auto"/>
      </w:divBdr>
    </w:div>
    <w:div w:id="1310093953">
      <w:bodyDiv w:val="1"/>
      <w:marLeft w:val="0"/>
      <w:marRight w:val="0"/>
      <w:marTop w:val="0"/>
      <w:marBottom w:val="0"/>
      <w:divBdr>
        <w:top w:val="none" w:sz="0" w:space="0" w:color="auto"/>
        <w:left w:val="none" w:sz="0" w:space="0" w:color="auto"/>
        <w:bottom w:val="none" w:sz="0" w:space="0" w:color="auto"/>
        <w:right w:val="none" w:sz="0" w:space="0" w:color="auto"/>
      </w:divBdr>
    </w:div>
    <w:div w:id="1627351238">
      <w:bodyDiv w:val="1"/>
      <w:marLeft w:val="0"/>
      <w:marRight w:val="0"/>
      <w:marTop w:val="0"/>
      <w:marBottom w:val="0"/>
      <w:divBdr>
        <w:top w:val="none" w:sz="0" w:space="0" w:color="auto"/>
        <w:left w:val="none" w:sz="0" w:space="0" w:color="auto"/>
        <w:bottom w:val="none" w:sz="0" w:space="0" w:color="auto"/>
        <w:right w:val="none" w:sz="0" w:space="0" w:color="auto"/>
      </w:divBdr>
    </w:div>
    <w:div w:id="1864515466">
      <w:bodyDiv w:val="1"/>
      <w:marLeft w:val="0"/>
      <w:marRight w:val="0"/>
      <w:marTop w:val="0"/>
      <w:marBottom w:val="0"/>
      <w:divBdr>
        <w:top w:val="none" w:sz="0" w:space="0" w:color="auto"/>
        <w:left w:val="none" w:sz="0" w:space="0" w:color="auto"/>
        <w:bottom w:val="none" w:sz="0" w:space="0" w:color="auto"/>
        <w:right w:val="none" w:sz="0" w:space="0" w:color="auto"/>
      </w:divBdr>
    </w:div>
    <w:div w:id="1871995272">
      <w:bodyDiv w:val="1"/>
      <w:marLeft w:val="0"/>
      <w:marRight w:val="0"/>
      <w:marTop w:val="0"/>
      <w:marBottom w:val="0"/>
      <w:divBdr>
        <w:top w:val="none" w:sz="0" w:space="0" w:color="auto"/>
        <w:left w:val="none" w:sz="0" w:space="0" w:color="auto"/>
        <w:bottom w:val="none" w:sz="0" w:space="0" w:color="auto"/>
        <w:right w:val="none" w:sz="0" w:space="0" w:color="auto"/>
      </w:divBdr>
    </w:div>
    <w:div w:id="1939367782">
      <w:bodyDiv w:val="1"/>
      <w:marLeft w:val="0"/>
      <w:marRight w:val="0"/>
      <w:marTop w:val="0"/>
      <w:marBottom w:val="0"/>
      <w:divBdr>
        <w:top w:val="none" w:sz="0" w:space="0" w:color="auto"/>
        <w:left w:val="none" w:sz="0" w:space="0" w:color="auto"/>
        <w:bottom w:val="none" w:sz="0" w:space="0" w:color="auto"/>
        <w:right w:val="none" w:sz="0" w:space="0" w:color="auto"/>
      </w:divBdr>
    </w:div>
    <w:div w:id="210811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0130844001"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4922E-660F-B24F-A16B-9E68FF938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4484</Words>
  <Characters>24662</Characters>
  <Application>Microsoft Office Word</Application>
  <DocSecurity>0</DocSecurity>
  <Lines>205</Lines>
  <Paragraphs>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29088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Yvon Rodrigue DOUGASSA</cp:lastModifiedBy>
  <cp:revision>10</cp:revision>
  <cp:lastPrinted>2014-05-25T21:15:00Z</cp:lastPrinted>
  <dcterms:created xsi:type="dcterms:W3CDTF">2014-05-22T08:20:00Z</dcterms:created>
  <dcterms:modified xsi:type="dcterms:W3CDTF">2014-05-25T21:15:00Z</dcterms:modified>
</cp:coreProperties>
</file>